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2442D">
      <w:pPr>
        <w:widowControl/>
        <w:spacing w:line="560" w:lineRule="exact"/>
        <w:jc w:val="left"/>
        <w:rPr>
          <w:rFonts w:hint="eastAsia" w:ascii="黑体" w:hAnsi="宋体" w:eastAsia="黑体" w:cs="宋体"/>
          <w:color w:val="auto"/>
          <w:kern w:val="0"/>
          <w:sz w:val="28"/>
          <w:szCs w:val="28"/>
          <w:highlight w:val="none"/>
        </w:rPr>
      </w:pPr>
    </w:p>
    <w:p w14:paraId="3C242BD0">
      <w:pPr>
        <w:widowControl/>
        <w:spacing w:line="560" w:lineRule="exact"/>
        <w:jc w:val="left"/>
        <w:rPr>
          <w:rFonts w:hint="eastAsia" w:ascii="黑体" w:hAnsi="宋体" w:eastAsia="黑体" w:cs="宋体"/>
          <w:color w:val="auto"/>
          <w:kern w:val="0"/>
          <w:sz w:val="28"/>
          <w:szCs w:val="28"/>
          <w:highlight w:val="none"/>
        </w:rPr>
      </w:pPr>
    </w:p>
    <w:p w14:paraId="6D05496D">
      <w:pPr>
        <w:widowControl/>
        <w:spacing w:line="560" w:lineRule="exact"/>
        <w:jc w:val="left"/>
        <w:rPr>
          <w:rFonts w:hint="eastAsia" w:ascii="黑体" w:hAnsi="宋体" w:eastAsia="黑体" w:cs="宋体"/>
          <w:color w:val="auto"/>
          <w:kern w:val="0"/>
          <w:sz w:val="28"/>
          <w:szCs w:val="28"/>
          <w:highlight w:val="none"/>
        </w:rPr>
      </w:pPr>
    </w:p>
    <w:p w14:paraId="1574191C">
      <w:pPr>
        <w:widowControl/>
        <w:spacing w:line="560" w:lineRule="exact"/>
        <w:jc w:val="left"/>
        <w:rPr>
          <w:rFonts w:hint="eastAsia" w:ascii="黑体" w:hAnsi="宋体" w:eastAsia="黑体" w:cs="宋体"/>
          <w:color w:val="auto"/>
          <w:kern w:val="0"/>
          <w:sz w:val="28"/>
          <w:szCs w:val="28"/>
          <w:highlight w:val="none"/>
        </w:rPr>
      </w:pPr>
    </w:p>
    <w:p w14:paraId="296EDEEC">
      <w:pPr>
        <w:widowControl/>
        <w:spacing w:line="560" w:lineRule="exact"/>
        <w:jc w:val="left"/>
        <w:rPr>
          <w:rFonts w:hint="eastAsia" w:ascii="黑体" w:hAnsi="宋体" w:eastAsia="黑体" w:cs="宋体"/>
          <w:color w:val="auto"/>
          <w:kern w:val="0"/>
          <w:sz w:val="28"/>
          <w:szCs w:val="28"/>
          <w:highlight w:val="none"/>
        </w:rPr>
      </w:pPr>
    </w:p>
    <w:p w14:paraId="2D2F8E8D">
      <w:pPr>
        <w:widowControl/>
        <w:spacing w:line="560" w:lineRule="exact"/>
        <w:jc w:val="left"/>
        <w:rPr>
          <w:rFonts w:hint="eastAsia" w:ascii="黑体" w:hAnsi="宋体" w:eastAsia="黑体" w:cs="宋体"/>
          <w:color w:val="auto"/>
          <w:kern w:val="0"/>
          <w:sz w:val="28"/>
          <w:szCs w:val="28"/>
          <w:highlight w:val="none"/>
        </w:rPr>
      </w:pPr>
    </w:p>
    <w:p w14:paraId="0AC58FB8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</w:pPr>
      <w:r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  <w:t>20</w:t>
      </w:r>
      <w:r>
        <w:rPr>
          <w:rFonts w:ascii="黑体" w:hAnsi="黑体" w:eastAsia="黑体" w:cs="黑体"/>
          <w:color w:val="auto"/>
          <w:sz w:val="52"/>
          <w:szCs w:val="52"/>
          <w:highlight w:val="none"/>
        </w:rPr>
        <w:t>2</w:t>
      </w:r>
      <w:r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  <w:t>5年度</w:t>
      </w:r>
      <w:r>
        <w:rPr>
          <w:rFonts w:hint="eastAsia" w:ascii="黑体" w:hAnsi="黑体" w:eastAsia="黑体" w:cs="黑体"/>
          <w:color w:val="auto"/>
          <w:sz w:val="52"/>
          <w:szCs w:val="52"/>
          <w:highlight w:val="none"/>
          <w:lang w:val="en-US" w:eastAsia="zh-CN"/>
        </w:rPr>
        <w:t>安阳市第十中学</w:t>
      </w:r>
      <w:r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  <w:t>预算</w:t>
      </w:r>
    </w:p>
    <w:p w14:paraId="4D55C5C7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</w:pPr>
    </w:p>
    <w:p w14:paraId="018D9FFE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</w:pPr>
    </w:p>
    <w:p w14:paraId="2D27C41F">
      <w:pPr>
        <w:spacing w:line="560" w:lineRule="exact"/>
        <w:jc w:val="center"/>
        <w:rPr>
          <w:rFonts w:ascii="黑体" w:hAnsi="黑体" w:eastAsia="黑体" w:cs="黑体"/>
          <w:color w:val="auto"/>
          <w:sz w:val="52"/>
          <w:szCs w:val="52"/>
          <w:highlight w:val="none"/>
        </w:rPr>
      </w:pPr>
    </w:p>
    <w:p w14:paraId="08DE009D">
      <w:pPr>
        <w:spacing w:line="560" w:lineRule="exact"/>
        <w:jc w:val="center"/>
        <w:rPr>
          <w:rFonts w:ascii="黑体" w:hAnsi="黑体" w:eastAsia="黑体" w:cs="黑体"/>
          <w:color w:val="auto"/>
          <w:sz w:val="52"/>
          <w:szCs w:val="52"/>
          <w:highlight w:val="none"/>
        </w:rPr>
      </w:pPr>
    </w:p>
    <w:p w14:paraId="3042A8E3">
      <w:pPr>
        <w:spacing w:line="560" w:lineRule="exact"/>
        <w:jc w:val="center"/>
        <w:rPr>
          <w:rFonts w:ascii="黑体" w:hAnsi="黑体" w:eastAsia="黑体" w:cs="黑体"/>
          <w:color w:val="auto"/>
          <w:sz w:val="52"/>
          <w:szCs w:val="52"/>
          <w:highlight w:val="none"/>
        </w:rPr>
      </w:pPr>
    </w:p>
    <w:p w14:paraId="028CC77F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</w:pPr>
    </w:p>
    <w:p w14:paraId="73ABE77C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</w:pPr>
    </w:p>
    <w:p w14:paraId="02A01819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</w:pPr>
    </w:p>
    <w:p w14:paraId="28107D46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52"/>
          <w:szCs w:val="52"/>
          <w:highlight w:val="none"/>
        </w:rPr>
      </w:pPr>
    </w:p>
    <w:p w14:paraId="6853538C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sectPr>
          <w:pgSz w:w="11906" w:h="16838"/>
          <w:pgMar w:top="1440" w:right="1531" w:bottom="1440" w:left="1587" w:header="850" w:footer="992" w:gutter="0"/>
          <w:cols w:space="720" w:num="1"/>
          <w:docGrid w:type="lines" w:linePitch="317" w:charSpace="0"/>
        </w:sect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二〇二五年三月</w:t>
      </w:r>
    </w:p>
    <w:p w14:paraId="09732AC9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color w:val="auto"/>
          <w:sz w:val="36"/>
          <w:szCs w:val="36"/>
          <w:highlight w:val="none"/>
        </w:rPr>
        <w:t>目　　录</w:t>
      </w:r>
    </w:p>
    <w:p w14:paraId="1233A94D">
      <w:pPr>
        <w:spacing w:line="560" w:lineRule="exact"/>
        <w:jc w:val="center"/>
        <w:rPr>
          <w:rFonts w:hint="eastAsia" w:ascii="黑体" w:hAnsi="黑体" w:eastAsia="黑体" w:cs="黑体"/>
          <w:color w:val="auto"/>
          <w:sz w:val="36"/>
          <w:szCs w:val="36"/>
          <w:highlight w:val="none"/>
        </w:rPr>
      </w:pPr>
    </w:p>
    <w:p w14:paraId="71245200">
      <w:pPr>
        <w:spacing w:line="560" w:lineRule="exact"/>
        <w:jc w:val="left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第一部分　　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概况</w:t>
      </w:r>
    </w:p>
    <w:p w14:paraId="11E5E79B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主要职责</w:t>
      </w:r>
    </w:p>
    <w:p w14:paraId="581977D5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预算单位构成</w:t>
      </w:r>
    </w:p>
    <w:p w14:paraId="3D76AC71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第二部分　　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20</w:t>
      </w:r>
      <w:r>
        <w:rPr>
          <w:rFonts w:ascii="黑体" w:hAnsi="黑体" w:eastAsia="黑体" w:cs="黑体"/>
          <w:color w:val="auto"/>
          <w:sz w:val="32"/>
          <w:szCs w:val="32"/>
          <w:highlight w:val="none"/>
        </w:rPr>
        <w:t>2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5年度预算情况说明</w:t>
      </w:r>
    </w:p>
    <w:p w14:paraId="7DF2B836">
      <w:pPr>
        <w:spacing w:line="560" w:lineRule="exact"/>
        <w:ind w:firstLine="640" w:firstLineChars="2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一、收入支出预算总体情况说明</w:t>
      </w:r>
    </w:p>
    <w:p w14:paraId="6592920C">
      <w:pPr>
        <w:spacing w:line="560" w:lineRule="exact"/>
        <w:ind w:firstLine="640" w:firstLineChars="2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二、收入预算总体情况说明</w:t>
      </w:r>
    </w:p>
    <w:p w14:paraId="11DCE5F5">
      <w:pPr>
        <w:spacing w:line="560" w:lineRule="exact"/>
        <w:ind w:firstLine="640" w:firstLineChars="2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三、支出预算总体情况说明</w:t>
      </w:r>
    </w:p>
    <w:p w14:paraId="0D111DC9">
      <w:pPr>
        <w:spacing w:line="560" w:lineRule="exact"/>
        <w:ind w:firstLine="640" w:firstLineChars="2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四、</w:t>
      </w:r>
      <w:bookmarkStart w:id="0" w:name="_Hlk192527896"/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财政拨款收支预算总体情况说明</w:t>
      </w:r>
      <w:bookmarkEnd w:id="0"/>
    </w:p>
    <w:p w14:paraId="33CD4BBE">
      <w:pPr>
        <w:spacing w:line="560" w:lineRule="exact"/>
        <w:ind w:firstLine="640" w:firstLineChars="2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五、一般公共预算支出预算情况说明</w:t>
      </w:r>
    </w:p>
    <w:p w14:paraId="36B12137">
      <w:pPr>
        <w:spacing w:line="560" w:lineRule="exact"/>
        <w:ind w:firstLine="640" w:firstLineChars="2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六、一般公共预算基本支出情况说明</w:t>
      </w:r>
    </w:p>
    <w:p w14:paraId="6B43AD4B">
      <w:pPr>
        <w:spacing w:line="560" w:lineRule="exact"/>
        <w:ind w:firstLine="640" w:firstLineChars="2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七、一般公共预算“三公”经费支出预算情况说明</w:t>
      </w:r>
    </w:p>
    <w:p w14:paraId="4FE82D91">
      <w:pPr>
        <w:spacing w:line="560" w:lineRule="exact"/>
        <w:ind w:firstLine="640" w:firstLineChars="2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八、政府性基金预算支出情况说明</w:t>
      </w:r>
    </w:p>
    <w:p w14:paraId="7FB57F5E">
      <w:pPr>
        <w:spacing w:line="560" w:lineRule="exact"/>
        <w:ind w:firstLine="640" w:firstLineChars="2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九、国有资本经营预算支出情况说明</w:t>
      </w:r>
    </w:p>
    <w:p w14:paraId="281ADD8F">
      <w:pPr>
        <w:spacing w:line="560" w:lineRule="exact"/>
        <w:ind w:firstLine="640" w:firstLineChars="2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bookmarkStart w:id="1" w:name="_Hlk73639405"/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十、上年结转情况说明</w:t>
      </w:r>
    </w:p>
    <w:p w14:paraId="46B1DD60">
      <w:pPr>
        <w:spacing w:line="560" w:lineRule="exact"/>
        <w:ind w:firstLine="640" w:firstLineChars="2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十一、其他重要事项的情况说明</w:t>
      </w:r>
    </w:p>
    <w:p w14:paraId="094A5005">
      <w:pPr>
        <w:spacing w:line="560" w:lineRule="exact"/>
        <w:ind w:firstLine="1280" w:firstLineChars="4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(一)机关运行经费支出情况</w:t>
      </w:r>
    </w:p>
    <w:p w14:paraId="6DE71D87">
      <w:pPr>
        <w:spacing w:line="560" w:lineRule="exact"/>
        <w:ind w:firstLine="1280" w:firstLineChars="4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ascii="宋体" w:hAnsi="宋体" w:cs="宋体"/>
          <w:color w:val="auto"/>
          <w:sz w:val="32"/>
          <w:szCs w:val="32"/>
          <w:highlight w:val="none"/>
        </w:rPr>
        <w:t>(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二)政府采购支出情况</w:t>
      </w:r>
    </w:p>
    <w:p w14:paraId="28AFA5B8">
      <w:pPr>
        <w:spacing w:line="560" w:lineRule="exact"/>
        <w:ind w:firstLine="1280" w:firstLineChars="4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(三)预算绩效情况说明</w:t>
      </w:r>
    </w:p>
    <w:p w14:paraId="79B31E0D">
      <w:pPr>
        <w:spacing w:line="560" w:lineRule="exact"/>
        <w:ind w:firstLine="1280" w:firstLineChars="4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(四)国有资产占用情况</w:t>
      </w:r>
    </w:p>
    <w:p w14:paraId="73B3B97F">
      <w:pPr>
        <w:spacing w:line="560" w:lineRule="exact"/>
        <w:ind w:firstLine="1280" w:firstLineChars="4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(五</w:t>
      </w:r>
      <w:r>
        <w:rPr>
          <w:rFonts w:ascii="宋体" w:hAnsi="宋体" w:cs="宋体"/>
          <w:color w:val="auto"/>
          <w:sz w:val="32"/>
          <w:szCs w:val="32"/>
          <w:highlight w:val="none"/>
        </w:rPr>
        <w:t>）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专项转移支付项目情况</w:t>
      </w:r>
    </w:p>
    <w:p w14:paraId="5A88CA25">
      <w:pPr>
        <w:spacing w:line="560" w:lineRule="exact"/>
        <w:ind w:firstLine="1280" w:firstLineChars="400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</w:p>
    <w:bookmarkEnd w:id="1"/>
    <w:p w14:paraId="08758D33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第三部分　　名词解释</w:t>
      </w:r>
    </w:p>
    <w:p w14:paraId="76FDE96E">
      <w:pPr>
        <w:spacing w:line="560" w:lineRule="exact"/>
        <w:ind w:firstLine="640" w:firstLineChars="2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</w:p>
    <w:p w14:paraId="0B9ECF19">
      <w:pPr>
        <w:spacing w:line="560" w:lineRule="exact"/>
        <w:jc w:val="left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附件：　　20</w:t>
      </w:r>
      <w:r>
        <w:rPr>
          <w:rFonts w:ascii="黑体" w:hAnsi="黑体" w:eastAsia="黑体" w:cs="黑体"/>
          <w:color w:val="auto"/>
          <w:sz w:val="32"/>
          <w:szCs w:val="32"/>
          <w:highlight w:val="none"/>
        </w:rPr>
        <w:t>2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5年度单位预算表</w:t>
      </w:r>
    </w:p>
    <w:p w14:paraId="29B67E07">
      <w:pPr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一、2025年单位收支总体情况表</w:t>
      </w:r>
    </w:p>
    <w:p w14:paraId="05ABE533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二、2025年单位收入总体表</w:t>
      </w:r>
    </w:p>
    <w:p w14:paraId="31D6A2C2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三、2025年单位支出总体情况表</w:t>
      </w:r>
    </w:p>
    <w:p w14:paraId="49BA9061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四、2025年财政拨款收支总体情况表</w:t>
      </w:r>
    </w:p>
    <w:p w14:paraId="33C9ABCF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五、2025年一般公共预算支出情况表</w:t>
      </w:r>
    </w:p>
    <w:p w14:paraId="798213EC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六、2025年一般公共预算基本支出表</w:t>
      </w:r>
    </w:p>
    <w:p w14:paraId="5487B2E2">
      <w:pPr>
        <w:ind w:firstLine="640" w:firstLineChars="200"/>
        <w:jc w:val="left"/>
        <w:rPr>
          <w:rFonts w:ascii="宋体" w:hAnsi="宋体" w:cs="宋体"/>
          <w:sz w:val="32"/>
          <w:szCs w:val="32"/>
          <w:highlight w:val="yellow"/>
        </w:rPr>
      </w:pPr>
      <w:r>
        <w:rPr>
          <w:rFonts w:hint="eastAsia" w:ascii="宋体" w:hAnsi="宋体" w:cs="宋体"/>
          <w:sz w:val="32"/>
          <w:szCs w:val="32"/>
        </w:rPr>
        <w:t>七、2025年支出经济分类汇总表</w:t>
      </w:r>
    </w:p>
    <w:p w14:paraId="61C4EAD3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八、2025年一般公共预算“三公”经费支出情况表</w:t>
      </w:r>
    </w:p>
    <w:p w14:paraId="1E5F66C6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九、2025年政府性基金预算支出情况表</w:t>
      </w:r>
    </w:p>
    <w:p w14:paraId="23EE7767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十、2025年项目支出表</w:t>
      </w:r>
    </w:p>
    <w:p w14:paraId="7CF0E028">
      <w:p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十一、2025年单位预算项目绩效目标汇总表</w:t>
      </w:r>
    </w:p>
    <w:p w14:paraId="72C8C193">
      <w:pPr>
        <w:ind w:firstLine="640" w:firstLineChars="2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十二、部门（单位）整体绩效目标表</w:t>
      </w:r>
    </w:p>
    <w:p w14:paraId="2404A596">
      <w:pPr>
        <w:numPr>
          <w:ilvl w:val="0"/>
          <w:numId w:val="2"/>
        </w:num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2025年国有资本经营支出预算表</w:t>
      </w:r>
    </w:p>
    <w:p w14:paraId="00AC8158">
      <w:pPr>
        <w:numPr>
          <w:ilvl w:val="0"/>
          <w:numId w:val="2"/>
        </w:numPr>
        <w:ind w:firstLine="64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 xml:space="preserve">上年结转资金表 </w:t>
      </w:r>
    </w:p>
    <w:p w14:paraId="44812DCE">
      <w:pPr>
        <w:widowControl w:val="0"/>
        <w:numPr>
          <w:ilvl w:val="0"/>
          <w:numId w:val="0"/>
        </w:numPr>
        <w:spacing w:line="560" w:lineRule="exact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</w:p>
    <w:p w14:paraId="1D2D8392">
      <w:pPr>
        <w:widowControl w:val="0"/>
        <w:numPr>
          <w:ilvl w:val="0"/>
          <w:numId w:val="0"/>
        </w:numPr>
        <w:spacing w:line="560" w:lineRule="exact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</w:p>
    <w:p w14:paraId="4326750E">
      <w:pPr>
        <w:spacing w:line="560" w:lineRule="exact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</w:p>
    <w:p w14:paraId="633F5037">
      <w:pPr>
        <w:spacing w:line="560" w:lineRule="exact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</w:p>
    <w:p w14:paraId="02BD2130">
      <w:pPr>
        <w:spacing w:line="560" w:lineRule="exact"/>
        <w:jc w:val="left"/>
        <w:rPr>
          <w:rFonts w:hint="eastAsia" w:ascii="宋体" w:hAnsi="宋体" w:cs="宋体"/>
          <w:color w:val="auto"/>
          <w:sz w:val="32"/>
          <w:szCs w:val="32"/>
          <w:highlight w:val="none"/>
        </w:rPr>
      </w:pPr>
    </w:p>
    <w:p w14:paraId="2AB5B8D3">
      <w:pPr>
        <w:widowControl/>
        <w:spacing w:line="560" w:lineRule="exact"/>
        <w:jc w:val="center"/>
        <w:outlineLvl w:val="0"/>
        <w:rPr>
          <w:rFonts w:ascii="黑体" w:hAnsi="黑体" w:eastAsia="黑体" w:cs="黑体"/>
          <w:color w:val="auto"/>
          <w:sz w:val="48"/>
          <w:szCs w:val="48"/>
          <w:highlight w:val="none"/>
        </w:rPr>
      </w:pPr>
      <w:r>
        <w:rPr>
          <w:rFonts w:hint="eastAsia" w:ascii="黑体" w:hAnsi="黑体" w:eastAsia="黑体" w:cs="黑体"/>
          <w:color w:val="auto"/>
          <w:sz w:val="48"/>
          <w:szCs w:val="48"/>
          <w:highlight w:val="none"/>
        </w:rPr>
        <w:t>第一部分</w:t>
      </w:r>
    </w:p>
    <w:p w14:paraId="25A56300">
      <w:pPr>
        <w:widowControl/>
        <w:spacing w:before="312" w:beforeLines="100" w:line="560" w:lineRule="exact"/>
        <w:jc w:val="center"/>
        <w:outlineLvl w:val="0"/>
        <w:rPr>
          <w:rFonts w:hint="eastAsia" w:ascii="黑体" w:hAnsi="宋体" w:eastAsia="黑体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color w:val="auto"/>
          <w:sz w:val="48"/>
          <w:szCs w:val="48"/>
          <w:highlight w:val="none"/>
          <w:lang w:val="en-US" w:eastAsia="zh-CN"/>
        </w:rPr>
        <w:t>安阳市第十中学单位</w:t>
      </w:r>
      <w:r>
        <w:rPr>
          <w:rFonts w:hint="eastAsia" w:ascii="黑体" w:hAnsi="黑体" w:eastAsia="黑体" w:cs="黑体"/>
          <w:color w:val="auto"/>
          <w:sz w:val="48"/>
          <w:szCs w:val="48"/>
          <w:highlight w:val="none"/>
        </w:rPr>
        <w:t>概况</w:t>
      </w:r>
    </w:p>
    <w:p w14:paraId="45DC36DD">
      <w:pPr>
        <w:widowControl/>
        <w:spacing w:line="560" w:lineRule="exact"/>
        <w:ind w:firstLine="640" w:firstLineChars="200"/>
        <w:jc w:val="left"/>
        <w:outlineLvl w:val="1"/>
        <w:rPr>
          <w:rFonts w:ascii="黑体" w:hAnsi="黑体" w:eastAsia="黑体" w:cs="黑体"/>
          <w:color w:val="auto"/>
          <w:kern w:val="0"/>
          <w:sz w:val="32"/>
          <w:szCs w:val="32"/>
          <w:highlight w:val="none"/>
        </w:rPr>
      </w:pPr>
    </w:p>
    <w:p w14:paraId="1C6E6B8B">
      <w:pPr>
        <w:widowControl/>
        <w:numPr>
          <w:ilvl w:val="0"/>
          <w:numId w:val="3"/>
        </w:numPr>
        <w:spacing w:line="560" w:lineRule="exact"/>
        <w:ind w:firstLine="640" w:firstLineChars="200"/>
        <w:jc w:val="left"/>
        <w:outlineLvl w:val="1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主要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</w:rPr>
        <w:t>职责</w:t>
      </w:r>
    </w:p>
    <w:p w14:paraId="5B98FA09">
      <w:pPr>
        <w:widowControl/>
        <w:spacing w:line="560" w:lineRule="exact"/>
        <w:jc w:val="left"/>
        <w:outlineLvl w:val="1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坚持社会主义办学方向，全面贯彻执行党和国家教育方针，全面实施素质教育，努力培养德智体美劳全面发展，适应时代要求的社会主义事业建设者和接班人。执行上级党委、政府和教育行政部门的决议。按照国家规定，制定并实施学校教学计划，领导和组织教育工作，完成上级下达的教育、教学和其他工作任务。加强教师队伍建设，不断提高教师的整体素质。改善办学条件，完善教学、生活装备和设施。做好学校各种教学设施的维修保管工作；加强财务管理，维护教职工利益,保障教职工合法权益。</w:t>
      </w:r>
    </w:p>
    <w:p w14:paraId="0E3B4133">
      <w:pPr>
        <w:widowControl/>
        <w:spacing w:line="560" w:lineRule="exact"/>
        <w:ind w:firstLine="640" w:firstLineChars="200"/>
        <w:jc w:val="left"/>
        <w:outlineLvl w:val="1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预算单位构成</w:t>
      </w:r>
    </w:p>
    <w:p w14:paraId="0F7D4430">
      <w:pPr>
        <w:widowControl/>
        <w:spacing w:line="560" w:lineRule="exact"/>
        <w:ind w:firstLine="640" w:firstLineChars="200"/>
        <w:outlineLvl w:val="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28"/>
          <w:highlight w:val="none"/>
          <w:lang w:val="en-US" w:eastAsia="zh-CN"/>
        </w:rPr>
        <w:t>安阳市第十中学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预算包括：本级预算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所属事业单位预算。</w:t>
      </w:r>
    </w:p>
    <w:p w14:paraId="6110DF49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本预算仅包括本级预算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 w14:paraId="353BB42E">
      <w:pPr>
        <w:widowControl/>
        <w:ind w:firstLine="640" w:firstLineChars="200"/>
        <w:jc w:val="left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内设机构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28"/>
          <w:highlight w:val="none"/>
        </w:rPr>
        <w:t>个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，包括：办公室、教务处、政教处、团委和总务处。</w:t>
      </w:r>
    </w:p>
    <w:p w14:paraId="5CDB5984">
      <w:pPr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纳入本部门20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5年度预算编制范围的单位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共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个，具体是：</w:t>
      </w:r>
    </w:p>
    <w:p w14:paraId="240ACEE8">
      <w:pPr>
        <w:widowControl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安阳市第十中学本级</w:t>
      </w:r>
    </w:p>
    <w:p w14:paraId="7CA56CE4">
      <w:pPr>
        <w:widowControl/>
        <w:spacing w:line="560" w:lineRule="exact"/>
        <w:jc w:val="left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 w14:paraId="688AC5F6">
      <w:pPr>
        <w:widowControl/>
        <w:spacing w:line="560" w:lineRule="exact"/>
        <w:jc w:val="left"/>
        <w:rPr>
          <w:rFonts w:hint="eastAsia" w:ascii="黑体" w:hAnsi="宋体" w:eastAsia="黑体" w:cs="宋体"/>
          <w:color w:val="auto"/>
          <w:kern w:val="0"/>
          <w:sz w:val="28"/>
          <w:szCs w:val="28"/>
          <w:highlight w:val="none"/>
        </w:rPr>
      </w:pPr>
    </w:p>
    <w:p w14:paraId="50DA84C3">
      <w:pPr>
        <w:spacing w:line="560" w:lineRule="exact"/>
        <w:jc w:val="center"/>
        <w:outlineLvl w:val="0"/>
        <w:rPr>
          <w:rFonts w:ascii="黑体" w:hAnsi="黑体" w:eastAsia="黑体" w:cs="黑体"/>
          <w:color w:val="auto"/>
          <w:sz w:val="48"/>
          <w:szCs w:val="48"/>
          <w:highlight w:val="none"/>
        </w:rPr>
      </w:pPr>
      <w:r>
        <w:rPr>
          <w:rFonts w:hint="eastAsia" w:ascii="黑体" w:hAnsi="黑体" w:eastAsia="黑体" w:cs="黑体"/>
          <w:color w:val="auto"/>
          <w:sz w:val="48"/>
          <w:szCs w:val="48"/>
          <w:highlight w:val="none"/>
        </w:rPr>
        <w:t xml:space="preserve">第二部分 </w:t>
      </w:r>
    </w:p>
    <w:p w14:paraId="1CA428CD">
      <w:pPr>
        <w:spacing w:before="312" w:beforeLines="100" w:line="560" w:lineRule="exact"/>
        <w:jc w:val="center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48"/>
          <w:szCs w:val="48"/>
          <w:highlight w:val="none"/>
        </w:rPr>
        <w:t>20</w:t>
      </w:r>
      <w:r>
        <w:rPr>
          <w:rFonts w:ascii="黑体" w:hAnsi="黑体" w:eastAsia="黑体" w:cs="黑体"/>
          <w:color w:val="auto"/>
          <w:sz w:val="48"/>
          <w:szCs w:val="48"/>
          <w:highlight w:val="none"/>
        </w:rPr>
        <w:t>2</w:t>
      </w:r>
      <w:r>
        <w:rPr>
          <w:rFonts w:hint="eastAsia" w:ascii="黑体" w:hAnsi="黑体" w:eastAsia="黑体" w:cs="黑体"/>
          <w:color w:val="auto"/>
          <w:sz w:val="48"/>
          <w:szCs w:val="48"/>
          <w:highlight w:val="none"/>
        </w:rPr>
        <w:t>5年度</w:t>
      </w:r>
      <w:r>
        <w:rPr>
          <w:rFonts w:hint="eastAsia" w:ascii="黑体" w:hAnsi="黑体" w:eastAsia="黑体" w:cs="黑体"/>
          <w:color w:val="auto"/>
          <w:sz w:val="48"/>
          <w:szCs w:val="48"/>
          <w:highlight w:val="none"/>
          <w:lang w:val="en-US" w:eastAsia="zh-CN"/>
        </w:rPr>
        <w:t>安阳市第十中学</w:t>
      </w:r>
      <w:r>
        <w:rPr>
          <w:rFonts w:hint="eastAsia" w:ascii="黑体" w:hAnsi="黑体" w:eastAsia="黑体" w:cs="黑体"/>
          <w:color w:val="auto"/>
          <w:sz w:val="48"/>
          <w:szCs w:val="48"/>
          <w:highlight w:val="none"/>
        </w:rPr>
        <w:t>预算情况说明</w:t>
      </w:r>
    </w:p>
    <w:p w14:paraId="3B7DF6F4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707D0761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一、收入支出预算总体情况说明</w:t>
      </w:r>
    </w:p>
    <w:p w14:paraId="6CA83473">
      <w:pPr>
        <w:widowControl/>
        <w:spacing w:line="600" w:lineRule="exact"/>
        <w:ind w:firstLine="640" w:firstLineChars="200"/>
        <w:rPr>
          <w:rFonts w:hint="eastAsia" w:ascii="黑体" w:hAnsi="黑体" w:eastAsia="仿宋_GB2312" w:cs="黑体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2025年收入总计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488.92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万元，支出总计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488.92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万元。与2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  <w:t>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4年相比，收、支总计各增加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16.02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新招聘人员工资、保险、公积金等支出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增加，人员经费增加；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学生人数增加，公用经费增加。</w:t>
      </w:r>
    </w:p>
    <w:p w14:paraId="5E1CA9BF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二、收入预算总体情况说明</w:t>
      </w:r>
    </w:p>
    <w:p w14:paraId="3B937547">
      <w:pPr>
        <w:widowControl/>
        <w:spacing w:line="560" w:lineRule="exact"/>
        <w:ind w:firstLine="640" w:firstLineChars="200"/>
        <w:rPr>
          <w:rFonts w:hint="eastAsia" w:ascii="黑体" w:hAnsi="黑体" w:eastAsia="仿宋_GB2312" w:cs="黑体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2025年收入合计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488.92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万元，其中：一般公共预算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488.92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万元；政府性基金预算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万元；其他收入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万元。</w:t>
      </w:r>
    </w:p>
    <w:p w14:paraId="138718FE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三、支出预算总体情况说明</w:t>
      </w:r>
    </w:p>
    <w:p w14:paraId="3A817ECF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2025年支出合计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488.92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177.36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36.28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%；项目支出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311.56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63.72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%。</w:t>
      </w:r>
    </w:p>
    <w:p w14:paraId="7ED07930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四、财政拨款收支预算总体情况说明</w:t>
      </w:r>
    </w:p>
    <w:p w14:paraId="24555B24"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2025年一般公共预算收支预算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488.92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万元，政府性基金收支预算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万元，与2024年相比，一般公共预算收支预算增加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16.02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%，主要原因：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新招聘人员工资、保险、公积金等支出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增加，人员经费增加；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学生人数增加，公用经费增加；政府性基金预算收支预算增加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%，主要原因：本单位无政府性基金预算收入。</w:t>
      </w:r>
    </w:p>
    <w:p w14:paraId="2424CB68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五、一般公共预算支出预算情况说明</w:t>
      </w:r>
    </w:p>
    <w:p w14:paraId="678D1F26">
      <w:pPr>
        <w:widowControl/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bookmarkStart w:id="2" w:name="_Hlk73639991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2025年一般公共预算支出年初预算为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488.92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万元，基本支出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177.36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36.28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%；项目支出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311.56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63.72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%。</w:t>
      </w:r>
      <w:bookmarkEnd w:id="2"/>
    </w:p>
    <w:p w14:paraId="47D189FE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六、一般公共预算基本支出情况说明</w:t>
      </w:r>
    </w:p>
    <w:p w14:paraId="219C07A0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2025年一般公共预算基本支出年初预算为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177.36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万元。其中：人员经费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168.65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95.09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%；公用经费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8.71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4.91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%。</w:t>
      </w:r>
    </w:p>
    <w:p w14:paraId="5DEE7F77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七、一般公共预算“三公”经费支出预算情况说明</w:t>
      </w:r>
    </w:p>
    <w:p w14:paraId="4A42CA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2025年“三公”经费预算为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万元，比2024年度“三公”经费支出预算数增加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与上年持平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，主要原因：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严格贯彻落实中央、市委市政府厉行节约的规定，严格控制“三公”经费预算规模和标准。</w:t>
      </w:r>
    </w:p>
    <w:p w14:paraId="3D9CC306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具体支出情况如下：</w:t>
      </w:r>
    </w:p>
    <w:p w14:paraId="40CEFA8C">
      <w:pPr>
        <w:widowControl/>
        <w:numPr>
          <w:ilvl w:val="0"/>
          <w:numId w:val="4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color w:val="auto"/>
          <w:sz w:val="32"/>
          <w:szCs w:val="32"/>
          <w:highlight w:val="none"/>
        </w:rPr>
        <w:t>因公出国（境）费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万元，主要用于单位工作人员公务出国（境）的住宿费、旅费、伙食补助费、杂费、培训费等支出。预算数比2024年增加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与上年持平，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主要原因：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严格贯彻落实中央、市委市政府厉行节约的规定，严格控制</w:t>
      </w:r>
      <w:r>
        <w:rPr>
          <w:rFonts w:hint="eastAsia" w:ascii="楷体" w:hAnsi="楷体" w:eastAsia="楷体" w:cs="楷体"/>
          <w:color w:val="auto"/>
          <w:sz w:val="32"/>
          <w:szCs w:val="32"/>
          <w:highlight w:val="none"/>
        </w:rPr>
        <w:t>因公出国（境）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经费预算规模和标准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 w14:paraId="2995D66E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</w:rPr>
        <w:t>（二）公务用车购置及运行费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万元，其中：</w:t>
      </w:r>
    </w:p>
    <w:p w14:paraId="248A279C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公务用车购置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万元，购置车辆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辆，预算数比2024年增加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与上年持平，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主要原因：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严格贯彻落实中央、市委市政府厉行节约的规定，严格控制公务用车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规模和标准。</w:t>
      </w:r>
    </w:p>
    <w:p w14:paraId="45FAFB1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公务用车运行费维护费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万元。主要用于开展工作所需公务用车的燃料费、维修费、过路过桥费、保险费、安全奖励费用等支出。预算数比2024年增加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与上年持平，主要原因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严格贯彻落实中央、市委市政府厉行节约的规定，严格控制公务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用车运行维护费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规模和标准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 w14:paraId="1520103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</w:rPr>
        <w:t>（三）公务接待费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万元，主要用于按规定开支的各类公务接待（含外宾接待）支出。预算数比2024年增加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与上年持平，主要原因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严格贯彻落实中央、市委市政府厉行节约的规定，严格控制公务接待规模和标准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 w14:paraId="57B7B32C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八、政府性基金预算支出预算情况说明</w:t>
      </w:r>
    </w:p>
    <w:p w14:paraId="2642025A">
      <w:pPr>
        <w:widowControl/>
        <w:spacing w:line="5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我单位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2025年没有使用政府性基金预算</w:t>
      </w: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款安排的支出。</w:t>
      </w:r>
    </w:p>
    <w:p w14:paraId="012E1F48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九、 国有资本经营支出预算情况说明</w:t>
      </w:r>
    </w:p>
    <w:p w14:paraId="40D31162">
      <w:pPr>
        <w:widowControl/>
        <w:spacing w:line="5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2025年没有使用国有资本经营预算</w:t>
      </w: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款安排的支出。</w:t>
      </w:r>
    </w:p>
    <w:p w14:paraId="6B42ECCF">
      <w:pPr>
        <w:widowControl/>
        <w:spacing w:line="560" w:lineRule="exact"/>
        <w:ind w:firstLine="640" w:firstLineChars="200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十、上年结转情况说明</w:t>
      </w:r>
    </w:p>
    <w:p w14:paraId="365D4DB5">
      <w:pPr>
        <w:widowControl/>
        <w:spacing w:line="5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2025年上年结转资金为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万元，其中财政拨款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%；政府性基金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%；一般性转移支付资金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%。</w:t>
      </w:r>
    </w:p>
    <w:p w14:paraId="166C2B6F">
      <w:pPr>
        <w:widowControl/>
        <w:spacing w:line="560" w:lineRule="exact"/>
        <w:ind w:firstLine="640" w:firstLineChars="200"/>
        <w:outlineLvl w:val="1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十一、其他重要事项的情况说明</w:t>
      </w:r>
    </w:p>
    <w:p w14:paraId="15927927">
      <w:pPr>
        <w:numPr>
          <w:ilvl w:val="0"/>
          <w:numId w:val="5"/>
        </w:numPr>
        <w:spacing w:line="560" w:lineRule="exact"/>
        <w:ind w:left="0" w:firstLine="643" w:firstLineChars="200"/>
        <w:jc w:val="left"/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  <w:t>事业运行经费支出情况</w:t>
      </w:r>
    </w:p>
    <w:p w14:paraId="45CDAC2D">
      <w:pPr>
        <w:spacing w:line="560" w:lineRule="exact"/>
        <w:ind w:firstLine="640" w:firstLineChars="200"/>
        <w:jc w:val="left"/>
        <w:rPr>
          <w:rFonts w:ascii="宋体" w:hAnsi="宋体" w:eastAsia="仿宋_GB2312" w:cs="宋体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安阳市第十中学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2025年度事业运行经费支出预算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8.71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主要保障机构正常运转及正常履职需要所需支出，包含公用经费、工会经费等。</w:t>
      </w:r>
    </w:p>
    <w:p w14:paraId="7B398724">
      <w:pPr>
        <w:numPr>
          <w:ilvl w:val="0"/>
          <w:numId w:val="5"/>
        </w:numPr>
        <w:spacing w:line="560" w:lineRule="exact"/>
        <w:ind w:left="0" w:firstLine="643" w:firstLineChars="200"/>
        <w:jc w:val="left"/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  <w:t>政府采购支出情况</w:t>
      </w:r>
    </w:p>
    <w:p w14:paraId="2B36357B">
      <w:pPr>
        <w:widowControl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2025年度政府采购预算安排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万元、政府采购工程预算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万元、政府采购服务预算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</w:p>
    <w:p w14:paraId="40C654C2">
      <w:pPr>
        <w:spacing w:line="560" w:lineRule="exact"/>
        <w:ind w:firstLine="643" w:firstLineChars="200"/>
        <w:jc w:val="left"/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  <w:t>（三）预算绩效情况说明</w:t>
      </w:r>
    </w:p>
    <w:p w14:paraId="7CA5D66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我单位2025年预算项目共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个，资金总额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311.56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万元，均分别从项目成本、项目产出、项目效益、项目满意度等方面按要求设置了绩效目标。其中预算支出100万元及100万元以上重点项目共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 w14:paraId="7141D56C">
      <w:pPr>
        <w:spacing w:line="560" w:lineRule="exact"/>
        <w:ind w:firstLine="643" w:firstLineChars="200"/>
        <w:jc w:val="left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  <w:t>（四）国有资产占用情况</w:t>
      </w:r>
    </w:p>
    <w:p w14:paraId="45EC8B58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2024年期末，我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共有车辆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辆，其中：一般公务用车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辆、一般执法执勤用车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辆，特种专业技术用车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辆、其他用车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辆；单位价值50万元以上通用设备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台（套），单位价值100万元以上专用设备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台（套）。</w:t>
      </w:r>
    </w:p>
    <w:p w14:paraId="0AEC114E">
      <w:pPr>
        <w:spacing w:line="560" w:lineRule="exact"/>
        <w:ind w:firstLine="643" w:firstLineChars="2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  <w:t>（五）专项转移支付项目情况</w:t>
      </w:r>
    </w:p>
    <w:p w14:paraId="1E300DED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负责管理的专项转移支付项目共有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项，主要是：提前下达2025年城乡义务教育经费保障机制补助资金（公用经费）-中央（安财预[2024]386号）项目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127.33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万元；提前下达2025年城乡义务教育经费保障机制补助资金（公用经费）-省级（安财预[2024]386号）项目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17.87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万元；提前下达2025年城乡义务教育经费保障机制补助资金（公用经费）-省级-统筹中央综合奖补（安财预[2024]386号）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项目9.3万元；提前下达2025年城乡义务教育经费保障机制补助资金（公用经费）-市级（安财预[2024]386号）项目10.7万元。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将按照《中华人民共和国预算法》等有关规定，积极做好项目分配前期准备工作，在规定的时间内向财政部门提出资金分配意见，根据有关要求做好项目申报公开等相关工作。</w:t>
      </w:r>
    </w:p>
    <w:p w14:paraId="67D72455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0C55BB8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48930631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7CB4683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41EFF8E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0C38B235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78D70C69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5A6A2C0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25DE30FB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7CD20FC0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3AB28812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171E8D93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7F935EB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69C91D5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41FDBA00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5063FAD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4D035D7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79C7B90D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2B7017C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735DA5FD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</w:p>
    <w:p w14:paraId="10AD997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bookmarkStart w:id="3" w:name="_GoBack"/>
      <w:bookmarkEnd w:id="3"/>
    </w:p>
    <w:p w14:paraId="0EB14E03"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第三部分 名词解释</w:t>
      </w:r>
    </w:p>
    <w:p w14:paraId="58073068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一、财政拨款收入：是指同级财政当年拨付的资金。</w:t>
      </w:r>
    </w:p>
    <w:p w14:paraId="63194EB8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二、事业收入：是指事业单位开展专业活动及辅助活动所取得的收入。</w:t>
      </w:r>
    </w:p>
    <w:p w14:paraId="196EBD22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 xml:space="preserve">三、其他收入：是指部门取得的除“财政拨款”、“事业收入”、“事业单位经营收入”等以外的收入。 </w:t>
      </w:r>
    </w:p>
    <w:p w14:paraId="69C4A52C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四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14:paraId="0DE4EFDA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五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 w14:paraId="302BE0D8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六、基本支出：是指为保障机构正常运转、完成日常工作任务所必需的开支，其内容包括人员经费和日常公用经费两部分。</w:t>
      </w:r>
    </w:p>
    <w:p w14:paraId="1D9DEBA5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Courier New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七、项目支出：是指在基本支出之外，为完成特定的行政工作任务或事业发展目标所发生的支出。</w:t>
      </w:r>
    </w:p>
    <w:p w14:paraId="5050ABF6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Courier New"/>
          <w:color w:val="auto"/>
          <w:sz w:val="32"/>
          <w:szCs w:val="32"/>
          <w:highlight w:val="none"/>
        </w:rPr>
        <w:t>八、“三公”经费：是指纳入同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2D0AB332"/>
    <w:sectPr>
      <w:footerReference r:id="rId3" w:type="default"/>
      <w:footerReference r:id="rId4" w:type="even"/>
      <w:pgSz w:w="11906" w:h="16838"/>
      <w:pgMar w:top="1928" w:right="1474" w:bottom="170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15726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2615565</wp:posOffset>
              </wp:positionH>
              <wp:positionV relativeFrom="paragraph">
                <wp:posOffset>-172720</wp:posOffset>
              </wp:positionV>
              <wp:extent cx="382270" cy="27305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2270" cy="273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B67D1A">
                          <w:pPr>
                            <w:snapToGrid w:val="0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14:paraId="423BB6CF">
                          <w:pPr>
                            <w:snapToGrid w:val="0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5.95pt;margin-top:-13.6pt;height:21.5pt;width:30.1pt;mso-position-horizontal-relative:margin;z-index:251660288;mso-width-relative:page;mso-height-relative:page;" filled="f" stroked="f" coordsize="21600,21600" o:gfxdata="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5XQsCNkAAAAKAQAADwAAAAAAAAABACAAAAAiAAAAZHJzL2Rvd25yZXYueG1sUEsB&#10;AhQAFAAAAAgAh07iQDLowYO7AQAAcQMAAA4AAAAAAAAAAQAgAAAAKA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8B67D1A">
                    <w:pPr>
                      <w:snapToGrid w:val="0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  <w:p w14:paraId="423BB6CF">
                    <w:pPr>
                      <w:snapToGrid w:val="0"/>
                      <w:rPr>
                        <w:rFonts w:hint="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DD813D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DD813D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58281"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2615565</wp:posOffset>
              </wp:positionH>
              <wp:positionV relativeFrom="paragraph">
                <wp:posOffset>-172720</wp:posOffset>
              </wp:positionV>
              <wp:extent cx="562610" cy="22542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261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7C9B26">
                          <w:pPr>
                            <w:snapToGrid w:val="0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5.95pt;margin-top:-13.6pt;height:17.75pt;width:44.3pt;mso-position-horizontal-relative:margin;z-index:251661312;mso-width-relative:page;mso-height-relative:page;" filled="f" stroked="f" coordsize="21600,21600" o:gfxdata="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Fr/T0vZAAAACQEAAA8AAAAAAAAAAQAgAAAAIgAAAGRycy9kb3ducmV2LnhtbFBLAQIU&#10;ABQAAAAIAIdO4kCgAlBHuQEAAHEDAAAOAAAAAAAAAAEAIAAAACg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7C9B26">
                    <w:pPr>
                      <w:snapToGrid w:val="0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4CA18"/>
    <w:multiLevelType w:val="singleLevel"/>
    <w:tmpl w:val="8944CA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2B440AB"/>
    <w:multiLevelType w:val="singleLevel"/>
    <w:tmpl w:val="D2B440AB"/>
    <w:lvl w:ilvl="0" w:tentative="0">
      <w:start w:val="1"/>
      <w:numFmt w:val="chineseCounting"/>
      <w:suff w:val="nothing"/>
      <w:lvlText w:val="（%1）"/>
      <w:lvlJc w:val="left"/>
      <w:rPr>
        <w:rFonts w:hint="eastAsia" w:ascii="楷体_GB2312" w:hAnsi="楷体_GB2312" w:eastAsia="楷体_GB2312" w:cs="楷体_GB2312"/>
        <w:b w:val="0"/>
        <w:bCs w:val="0"/>
      </w:rPr>
    </w:lvl>
  </w:abstractNum>
  <w:abstractNum w:abstractNumId="2">
    <w:nsid w:val="4C50D702"/>
    <w:multiLevelType w:val="singleLevel"/>
    <w:tmpl w:val="4C50D702"/>
    <w:lvl w:ilvl="0" w:tentative="0">
      <w:start w:val="1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2956B59"/>
    <w:multiLevelType w:val="multilevel"/>
    <w:tmpl w:val="52956B59"/>
    <w:lvl w:ilvl="0" w:tentative="0">
      <w:start w:val="1"/>
      <w:numFmt w:val="japaneseCounting"/>
      <w:lvlText w:val="(%1)"/>
      <w:lvlJc w:val="left"/>
      <w:pPr>
        <w:ind w:left="15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40" w:hanging="420"/>
      </w:pPr>
    </w:lvl>
    <w:lvl w:ilvl="2" w:tentative="0">
      <w:start w:val="1"/>
      <w:numFmt w:val="lowerRoman"/>
      <w:lvlText w:val="%3."/>
      <w:lvlJc w:val="right"/>
      <w:pPr>
        <w:ind w:left="2060" w:hanging="420"/>
      </w:pPr>
    </w:lvl>
    <w:lvl w:ilvl="3" w:tentative="0">
      <w:start w:val="1"/>
      <w:numFmt w:val="decimal"/>
      <w:lvlText w:val="%4."/>
      <w:lvlJc w:val="left"/>
      <w:pPr>
        <w:ind w:left="2480" w:hanging="420"/>
      </w:pPr>
    </w:lvl>
    <w:lvl w:ilvl="4" w:tentative="0">
      <w:start w:val="1"/>
      <w:numFmt w:val="lowerLetter"/>
      <w:lvlText w:val="%5)"/>
      <w:lvlJc w:val="left"/>
      <w:pPr>
        <w:ind w:left="2900" w:hanging="420"/>
      </w:pPr>
    </w:lvl>
    <w:lvl w:ilvl="5" w:tentative="0">
      <w:start w:val="1"/>
      <w:numFmt w:val="lowerRoman"/>
      <w:lvlText w:val="%6."/>
      <w:lvlJc w:val="right"/>
      <w:pPr>
        <w:ind w:left="3320" w:hanging="420"/>
      </w:pPr>
    </w:lvl>
    <w:lvl w:ilvl="6" w:tentative="0">
      <w:start w:val="1"/>
      <w:numFmt w:val="decimal"/>
      <w:lvlText w:val="%7."/>
      <w:lvlJc w:val="left"/>
      <w:pPr>
        <w:ind w:left="3740" w:hanging="420"/>
      </w:pPr>
    </w:lvl>
    <w:lvl w:ilvl="7" w:tentative="0">
      <w:start w:val="1"/>
      <w:numFmt w:val="lowerLetter"/>
      <w:lvlText w:val="%8)"/>
      <w:lvlJc w:val="left"/>
      <w:pPr>
        <w:ind w:left="4160" w:hanging="420"/>
      </w:pPr>
    </w:lvl>
    <w:lvl w:ilvl="8" w:tentative="0">
      <w:start w:val="1"/>
      <w:numFmt w:val="lowerRoman"/>
      <w:lvlText w:val="%9."/>
      <w:lvlJc w:val="right"/>
      <w:pPr>
        <w:ind w:left="4580" w:hanging="420"/>
      </w:pPr>
    </w:lvl>
  </w:abstractNum>
  <w:abstractNum w:abstractNumId="4">
    <w:nsid w:val="5971BE17"/>
    <w:multiLevelType w:val="singleLevel"/>
    <w:tmpl w:val="5971BE1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52BEB"/>
    <w:rsid w:val="0ECD0C4C"/>
    <w:rsid w:val="287700A8"/>
    <w:rsid w:val="3B085868"/>
    <w:rsid w:val="3D147861"/>
    <w:rsid w:val="3D257C7B"/>
    <w:rsid w:val="47B02837"/>
    <w:rsid w:val="70731A73"/>
    <w:rsid w:val="78B673FD"/>
    <w:rsid w:val="7EB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3421</Words>
  <Characters>3723</Characters>
  <Lines>0</Lines>
  <Paragraphs>0</Paragraphs>
  <TotalTime>1</TotalTime>
  <ScaleCrop>false</ScaleCrop>
  <LinksUpToDate>false</LinksUpToDate>
  <CharactersWithSpaces>3745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夏慕</cp:lastModifiedBy>
  <dcterms:modified xsi:type="dcterms:W3CDTF">2025-03-23T09:11:47Z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eyJoZGlkIjoiNDc0NzQwM2M1MjllYzc3MzE3YWQ0MWIzMjJlZmUyM2MiLCJ1c2VySWQiOiI4OTM1MTY4NzEifQ==</vt:lpwstr>
  </property>
  <property fmtid="{D5CDD505-2E9C-101B-9397-08002B2CF9AE}" pid="4" name="ICV">
    <vt:lpwstr>9D2C4256550445A3A84EEEC15BC0B96A_12</vt:lpwstr>
  </property>
</Properties>
</file>