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882E9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45BBD64A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2C90C401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714BB204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6B6A577B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1174221B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5D6F08B5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38EDC84E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788AE431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20</w:t>
      </w:r>
      <w:r>
        <w:rPr>
          <w:rFonts w:ascii="黑体" w:hAnsi="黑体" w:eastAsia="黑体" w:cs="黑体"/>
          <w:sz w:val="52"/>
          <w:szCs w:val="52"/>
        </w:rPr>
        <w:t>2</w:t>
      </w:r>
      <w:r>
        <w:rPr>
          <w:rFonts w:hint="eastAsia" w:ascii="黑体" w:hAnsi="黑体" w:eastAsia="黑体" w:cs="黑体"/>
          <w:sz w:val="52"/>
          <w:szCs w:val="52"/>
        </w:rPr>
        <w:t>5年度安阳市第三十二中学预算</w:t>
      </w:r>
    </w:p>
    <w:p w14:paraId="2D7A5EEB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4FFD9625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2D27FBC6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257AC075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40387301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5155AECD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5A6C8D81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7658FF13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6FECA407">
      <w:pPr>
        <w:spacing w:line="560" w:lineRule="exact"/>
        <w:jc w:val="center"/>
        <w:rPr>
          <w:rFonts w:ascii="黑体" w:hAnsi="黑体" w:eastAsia="黑体" w:cs="黑体"/>
          <w:sz w:val="52"/>
          <w:szCs w:val="52"/>
        </w:rPr>
      </w:pPr>
    </w:p>
    <w:p w14:paraId="640BF04A"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  <w:sectPr>
          <w:pgSz w:w="11906" w:h="16838"/>
          <w:pgMar w:top="1440" w:right="1531" w:bottom="1440" w:left="1587" w:header="850" w:footer="992" w:gutter="0"/>
          <w:cols w:space="720" w:num="1"/>
          <w:docGrid w:type="lines" w:linePitch="317" w:charSpace="0"/>
        </w:sectPr>
      </w:pPr>
      <w:r>
        <w:rPr>
          <w:rFonts w:hint="eastAsia" w:ascii="黑体" w:hAnsi="黑体" w:eastAsia="黑体" w:cs="黑体"/>
          <w:sz w:val="32"/>
          <w:szCs w:val="32"/>
        </w:rPr>
        <w:t>二〇二五年三月</w:t>
      </w:r>
    </w:p>
    <w:p w14:paraId="08AA4497">
      <w:pPr>
        <w:spacing w:line="56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目　　录</w:t>
      </w:r>
    </w:p>
    <w:p w14:paraId="243B3EE4">
      <w:pPr>
        <w:spacing w:line="560" w:lineRule="exact"/>
        <w:jc w:val="center"/>
        <w:rPr>
          <w:rFonts w:ascii="黑体" w:hAnsi="黑体" w:eastAsia="黑体" w:cs="黑体"/>
          <w:sz w:val="36"/>
          <w:szCs w:val="36"/>
        </w:rPr>
      </w:pPr>
    </w:p>
    <w:p w14:paraId="028171BB"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　　安阳市第三十二中学概况</w:t>
      </w:r>
    </w:p>
    <w:p w14:paraId="5EB83684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主要职责</w:t>
      </w:r>
    </w:p>
    <w:p w14:paraId="0070F9AA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预算单位构成</w:t>
      </w:r>
    </w:p>
    <w:p w14:paraId="06A9F02E"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　　安阳市第三十二中学20</w:t>
      </w:r>
      <w:r>
        <w:rPr>
          <w:rFonts w:ascii="黑体" w:hAnsi="黑体" w:eastAsia="黑体" w:cs="黑体"/>
          <w:sz w:val="32"/>
          <w:szCs w:val="32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5年度预算情况说明</w:t>
      </w:r>
    </w:p>
    <w:p w14:paraId="4942A9F0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一、收入支出预算总体情况说明</w:t>
      </w:r>
    </w:p>
    <w:p w14:paraId="69092D84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二、收入预算总体情况说明</w:t>
      </w:r>
    </w:p>
    <w:p w14:paraId="1BD834EB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三、支出预算总体情况说明</w:t>
      </w:r>
    </w:p>
    <w:p w14:paraId="6216CBBB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四、</w:t>
      </w:r>
      <w:bookmarkStart w:id="0" w:name="_Hlk192527896"/>
      <w:r>
        <w:rPr>
          <w:rFonts w:hint="eastAsia" w:ascii="宋体" w:hAnsi="宋体" w:cs="宋体"/>
          <w:sz w:val="32"/>
          <w:szCs w:val="32"/>
        </w:rPr>
        <w:t>财政拨款收支预算总体情况说明</w:t>
      </w:r>
      <w:bookmarkEnd w:id="0"/>
    </w:p>
    <w:p w14:paraId="17887A87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五、一般公共预算支出预算情况说明</w:t>
      </w:r>
    </w:p>
    <w:p w14:paraId="2BCE965F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六、一般公共预算基本支出情况说明</w:t>
      </w:r>
    </w:p>
    <w:p w14:paraId="3189D0BA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七、一般公共预算“三公”经费支出预算情况说明</w:t>
      </w:r>
    </w:p>
    <w:p w14:paraId="40C4AE4E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八、政府性基金预算支出情况说明</w:t>
      </w:r>
    </w:p>
    <w:p w14:paraId="0A13F19B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九、国有资本经营预算支出情况说明</w:t>
      </w:r>
    </w:p>
    <w:p w14:paraId="044AD7CD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bookmarkStart w:id="1" w:name="_Hlk73639405"/>
      <w:r>
        <w:rPr>
          <w:rFonts w:hint="eastAsia" w:ascii="宋体" w:hAnsi="宋体" w:cs="宋体"/>
          <w:sz w:val="32"/>
          <w:szCs w:val="32"/>
        </w:rPr>
        <w:t>十、上年结转情况说明</w:t>
      </w:r>
    </w:p>
    <w:p w14:paraId="1D2668AA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十一、其他重要事项的情况说明</w:t>
      </w:r>
    </w:p>
    <w:p w14:paraId="715ACA89">
      <w:pPr>
        <w:spacing w:line="560" w:lineRule="exact"/>
        <w:ind w:firstLine="1280" w:firstLineChars="4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(一)机关运行经费支出情况</w:t>
      </w:r>
    </w:p>
    <w:p w14:paraId="672EE966">
      <w:pPr>
        <w:spacing w:line="560" w:lineRule="exact"/>
        <w:ind w:firstLine="1280" w:firstLineChars="40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(</w:t>
      </w:r>
      <w:r>
        <w:rPr>
          <w:rFonts w:hint="eastAsia" w:ascii="宋体" w:hAnsi="宋体" w:cs="宋体"/>
          <w:sz w:val="32"/>
          <w:szCs w:val="32"/>
        </w:rPr>
        <w:t>二)政府采购支出情况</w:t>
      </w:r>
    </w:p>
    <w:p w14:paraId="482E2130">
      <w:pPr>
        <w:spacing w:line="560" w:lineRule="exact"/>
        <w:ind w:firstLine="1280" w:firstLineChars="4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(三)预算绩效情况说明</w:t>
      </w:r>
    </w:p>
    <w:p w14:paraId="5B30F5B8">
      <w:pPr>
        <w:spacing w:line="560" w:lineRule="exact"/>
        <w:ind w:firstLine="1280" w:firstLineChars="4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(四)国有资产占用情况</w:t>
      </w:r>
    </w:p>
    <w:p w14:paraId="07C916B0">
      <w:pPr>
        <w:spacing w:line="560" w:lineRule="exact"/>
        <w:ind w:firstLine="1280" w:firstLineChars="4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(五)专项转移支付项目情况</w:t>
      </w:r>
    </w:p>
    <w:bookmarkEnd w:id="1"/>
    <w:p w14:paraId="382E81E2"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第三部分　　名词解释</w:t>
      </w:r>
    </w:p>
    <w:p w14:paraId="1A6A2B62">
      <w:pPr>
        <w:spacing w:line="560" w:lineRule="exact"/>
        <w:ind w:firstLine="640" w:firstLineChars="200"/>
        <w:jc w:val="left"/>
        <w:rPr>
          <w:rFonts w:ascii="宋体" w:hAnsi="宋体" w:cs="宋体"/>
          <w:sz w:val="32"/>
          <w:szCs w:val="32"/>
        </w:rPr>
      </w:pPr>
    </w:p>
    <w:p w14:paraId="36354243"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附件：　　20</w:t>
      </w:r>
      <w:r>
        <w:rPr>
          <w:rFonts w:ascii="黑体" w:hAnsi="黑体" w:eastAsia="黑体" w:cs="黑体"/>
          <w:sz w:val="32"/>
          <w:szCs w:val="32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5年度单位预算表</w:t>
      </w:r>
    </w:p>
    <w:p w14:paraId="29B67E07">
      <w:pPr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一、2025年单位收支总体情况表</w:t>
      </w:r>
    </w:p>
    <w:p w14:paraId="05ABE533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二、2025年单位收入总体表</w:t>
      </w:r>
    </w:p>
    <w:p w14:paraId="31D6A2C2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三、2025年单位支出总体情况表</w:t>
      </w:r>
    </w:p>
    <w:p w14:paraId="49BA9061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四、2025年财政拨款收支总体情况表</w:t>
      </w:r>
    </w:p>
    <w:p w14:paraId="33C9ABCF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五、2025年一般公共预算支出情况表</w:t>
      </w:r>
    </w:p>
    <w:p w14:paraId="798213EC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六、2025年一般公共预算基本支出表</w:t>
      </w:r>
    </w:p>
    <w:p w14:paraId="5487B2E2">
      <w:pPr>
        <w:ind w:firstLine="640" w:firstLineChars="200"/>
        <w:jc w:val="left"/>
        <w:rPr>
          <w:rFonts w:ascii="宋体" w:hAnsi="宋体" w:cs="宋体"/>
          <w:sz w:val="32"/>
          <w:szCs w:val="32"/>
          <w:highlight w:val="yellow"/>
        </w:rPr>
      </w:pPr>
      <w:r>
        <w:rPr>
          <w:rFonts w:hint="eastAsia" w:ascii="宋体" w:hAnsi="宋体" w:cs="宋体"/>
          <w:sz w:val="32"/>
          <w:szCs w:val="32"/>
        </w:rPr>
        <w:t>七、2025年支出经济分类汇总表</w:t>
      </w:r>
    </w:p>
    <w:p w14:paraId="61C4EAD3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八、2025年一般公共预算“三公”经费支出情况表</w:t>
      </w:r>
    </w:p>
    <w:p w14:paraId="1E5F66C6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九、2025年政府性基金预算支出情况表</w:t>
      </w:r>
    </w:p>
    <w:p w14:paraId="23EE7767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十、2025年项目支出表</w:t>
      </w:r>
    </w:p>
    <w:p w14:paraId="7CF0E028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十一、2025年单位预算项目绩效目标汇总表</w:t>
      </w:r>
    </w:p>
    <w:p w14:paraId="72C8C193">
      <w:pPr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十二、部门（单位）整体绩效目标表</w:t>
      </w:r>
    </w:p>
    <w:p w14:paraId="2404A596">
      <w:pPr>
        <w:numPr>
          <w:ilvl w:val="0"/>
          <w:numId w:val="2"/>
        </w:num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2025年国有资本经营支出预算表</w:t>
      </w:r>
    </w:p>
    <w:p w14:paraId="00AC8158">
      <w:pPr>
        <w:numPr>
          <w:ilvl w:val="0"/>
          <w:numId w:val="2"/>
        </w:num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 xml:space="preserve">上年结转资金表 </w:t>
      </w:r>
    </w:p>
    <w:p w14:paraId="4DBC2861">
      <w:pPr>
        <w:spacing w:line="560" w:lineRule="exact"/>
        <w:jc w:val="left"/>
        <w:rPr>
          <w:rFonts w:ascii="宋体" w:hAnsi="宋体" w:cs="宋体"/>
          <w:sz w:val="32"/>
          <w:szCs w:val="32"/>
        </w:rPr>
      </w:pPr>
    </w:p>
    <w:p w14:paraId="406A7E83">
      <w:pPr>
        <w:spacing w:line="560" w:lineRule="exact"/>
        <w:jc w:val="left"/>
        <w:rPr>
          <w:rFonts w:ascii="宋体" w:hAnsi="宋体" w:cs="宋体"/>
          <w:sz w:val="32"/>
          <w:szCs w:val="32"/>
        </w:rPr>
      </w:pPr>
    </w:p>
    <w:p w14:paraId="2B66163B">
      <w:pPr>
        <w:spacing w:line="560" w:lineRule="exact"/>
        <w:jc w:val="left"/>
        <w:rPr>
          <w:rFonts w:ascii="宋体" w:hAnsi="宋体" w:cs="宋体"/>
          <w:sz w:val="32"/>
          <w:szCs w:val="32"/>
        </w:rPr>
      </w:pPr>
    </w:p>
    <w:p w14:paraId="6B1E2E41">
      <w:pPr>
        <w:spacing w:line="560" w:lineRule="exact"/>
        <w:jc w:val="left"/>
        <w:rPr>
          <w:rFonts w:ascii="宋体" w:hAnsi="宋体" w:cs="宋体"/>
          <w:sz w:val="32"/>
          <w:szCs w:val="32"/>
        </w:rPr>
      </w:pPr>
    </w:p>
    <w:p w14:paraId="6A872F02">
      <w:pPr>
        <w:spacing w:line="560" w:lineRule="exact"/>
        <w:jc w:val="left"/>
        <w:rPr>
          <w:rFonts w:ascii="宋体" w:hAnsi="宋体" w:cs="宋体"/>
          <w:sz w:val="32"/>
          <w:szCs w:val="32"/>
        </w:rPr>
      </w:pPr>
    </w:p>
    <w:p w14:paraId="321C9DD3">
      <w:pPr>
        <w:spacing w:line="560" w:lineRule="exact"/>
        <w:jc w:val="left"/>
        <w:rPr>
          <w:rFonts w:ascii="宋体" w:hAnsi="宋体" w:cs="宋体"/>
          <w:sz w:val="32"/>
          <w:szCs w:val="32"/>
        </w:rPr>
      </w:pPr>
    </w:p>
    <w:p w14:paraId="43EC1BEE">
      <w:pPr>
        <w:widowControl/>
        <w:spacing w:line="560" w:lineRule="exact"/>
        <w:jc w:val="center"/>
        <w:outlineLvl w:val="0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第一部分</w:t>
      </w:r>
    </w:p>
    <w:p w14:paraId="6A3EE61E">
      <w:pPr>
        <w:widowControl/>
        <w:spacing w:before="312" w:beforeLines="100" w:line="560" w:lineRule="exact"/>
        <w:jc w:val="center"/>
        <w:outlineLvl w:val="0"/>
        <w:rPr>
          <w:rFonts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黑体"/>
          <w:sz w:val="48"/>
          <w:szCs w:val="48"/>
        </w:rPr>
        <w:t>安阳市第三十二中学概况</w:t>
      </w:r>
    </w:p>
    <w:p w14:paraId="76A88C13">
      <w:pPr>
        <w:widowControl/>
        <w:spacing w:line="560" w:lineRule="exact"/>
        <w:ind w:firstLine="640" w:firstLineChars="200"/>
        <w:jc w:val="left"/>
        <w:outlineLvl w:val="1"/>
        <w:rPr>
          <w:rFonts w:ascii="黑体" w:hAnsi="黑体" w:eastAsia="黑体" w:cs="黑体"/>
          <w:kern w:val="0"/>
          <w:sz w:val="32"/>
          <w:szCs w:val="32"/>
        </w:rPr>
      </w:pPr>
    </w:p>
    <w:p w14:paraId="555DBBCE">
      <w:pPr>
        <w:widowControl/>
        <w:numPr>
          <w:ilvl w:val="0"/>
          <w:numId w:val="3"/>
        </w:numPr>
        <w:spacing w:line="560" w:lineRule="exact"/>
        <w:ind w:firstLine="640" w:firstLineChars="200"/>
        <w:jc w:val="left"/>
        <w:outlineLvl w:val="1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安阳市第三十二中学主要</w:t>
      </w:r>
      <w:r>
        <w:rPr>
          <w:rFonts w:hint="eastAsia" w:ascii="黑体" w:hAnsi="黑体" w:eastAsia="黑体" w:cs="黑体"/>
          <w:bCs/>
          <w:sz w:val="32"/>
          <w:szCs w:val="32"/>
        </w:rPr>
        <w:t>职责</w:t>
      </w:r>
    </w:p>
    <w:p w14:paraId="1794DD5A"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安阳市第三十二中学主要职责是：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实施初中义务教育，促进基础教育发展，初中学历教育。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主要任务：根据有关法律法规做好初中阶段教育教学和学生安全防范等工作。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</w:t>
      </w:r>
    </w:p>
    <w:p w14:paraId="4E701CF9">
      <w:pPr>
        <w:widowControl/>
        <w:spacing w:line="560" w:lineRule="exact"/>
        <w:ind w:firstLine="640" w:firstLineChars="200"/>
        <w:jc w:val="left"/>
        <w:outlineLvl w:val="1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二、安阳市第三十二中学</w:t>
      </w:r>
      <w:r>
        <w:rPr>
          <w:rFonts w:hint="eastAsia" w:ascii="黑体" w:hAnsi="黑体" w:eastAsia="黑体" w:cs="黑体"/>
          <w:sz w:val="32"/>
          <w:szCs w:val="32"/>
        </w:rPr>
        <w:t>预算单位构成</w:t>
      </w:r>
    </w:p>
    <w:p w14:paraId="06012A36">
      <w:pPr>
        <w:widowControl/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安阳市第三十二中学预算包括：本级预算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所属事业单位预算。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本预算仅包括本级预算。</w:t>
      </w:r>
    </w:p>
    <w:p w14:paraId="32E6EE95">
      <w:pPr>
        <w:widowControl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安阳市第三十二中学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内设机构4个，包括：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办公室、教务处、政教处、总务处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092CDC63">
      <w:pPr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纳入本部门20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5年度预算编制范围的单位共1个，具体是：</w:t>
      </w:r>
    </w:p>
    <w:p w14:paraId="49CA50E4">
      <w:pPr>
        <w:widowControl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安阳市第三十二中学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本级</w:t>
      </w:r>
    </w:p>
    <w:p w14:paraId="2B5B0E6C">
      <w:pPr>
        <w:widowControl/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 w14:paraId="472E41F2">
      <w:pPr>
        <w:widowControl/>
        <w:spacing w:line="560" w:lineRule="exact"/>
        <w:jc w:val="left"/>
        <w:rPr>
          <w:rFonts w:ascii="黑体" w:hAnsi="宋体" w:eastAsia="黑体" w:cs="宋体"/>
          <w:kern w:val="0"/>
          <w:sz w:val="28"/>
          <w:szCs w:val="28"/>
        </w:rPr>
      </w:pPr>
    </w:p>
    <w:p w14:paraId="08D09970">
      <w:pPr>
        <w:widowControl/>
        <w:spacing w:line="560" w:lineRule="exact"/>
        <w:jc w:val="left"/>
        <w:rPr>
          <w:rFonts w:ascii="黑体" w:hAnsi="宋体" w:eastAsia="黑体" w:cs="宋体"/>
          <w:kern w:val="0"/>
          <w:sz w:val="28"/>
          <w:szCs w:val="28"/>
        </w:rPr>
      </w:pPr>
    </w:p>
    <w:p w14:paraId="41EC673A">
      <w:pPr>
        <w:widowControl/>
        <w:spacing w:line="560" w:lineRule="exact"/>
        <w:jc w:val="left"/>
        <w:rPr>
          <w:rFonts w:ascii="黑体" w:hAnsi="宋体" w:eastAsia="黑体" w:cs="宋体"/>
          <w:kern w:val="0"/>
          <w:sz w:val="28"/>
          <w:szCs w:val="28"/>
        </w:rPr>
      </w:pPr>
    </w:p>
    <w:p w14:paraId="47EE7818">
      <w:pPr>
        <w:widowControl/>
        <w:spacing w:line="560" w:lineRule="exact"/>
        <w:jc w:val="left"/>
        <w:rPr>
          <w:rFonts w:ascii="黑体" w:hAnsi="宋体" w:eastAsia="黑体" w:cs="宋体"/>
          <w:kern w:val="0"/>
          <w:sz w:val="28"/>
          <w:szCs w:val="28"/>
        </w:rPr>
      </w:pPr>
    </w:p>
    <w:p w14:paraId="72E3A66E">
      <w:pPr>
        <w:widowControl/>
        <w:spacing w:line="560" w:lineRule="exact"/>
        <w:jc w:val="left"/>
        <w:rPr>
          <w:rFonts w:ascii="黑体" w:hAnsi="宋体" w:eastAsia="黑体" w:cs="宋体"/>
          <w:kern w:val="0"/>
          <w:sz w:val="28"/>
          <w:szCs w:val="28"/>
        </w:rPr>
      </w:pPr>
    </w:p>
    <w:p w14:paraId="68092915">
      <w:pPr>
        <w:widowControl/>
        <w:spacing w:line="560" w:lineRule="exact"/>
        <w:jc w:val="left"/>
        <w:rPr>
          <w:rFonts w:ascii="黑体" w:hAnsi="宋体" w:eastAsia="黑体" w:cs="宋体"/>
          <w:kern w:val="0"/>
          <w:sz w:val="28"/>
          <w:szCs w:val="28"/>
        </w:rPr>
      </w:pPr>
    </w:p>
    <w:p w14:paraId="5E735A14">
      <w:pPr>
        <w:spacing w:line="560" w:lineRule="exact"/>
        <w:jc w:val="center"/>
        <w:outlineLvl w:val="0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 xml:space="preserve">第二部分 </w:t>
      </w:r>
    </w:p>
    <w:p w14:paraId="0E11C733">
      <w:pPr>
        <w:spacing w:before="312" w:beforeLines="100" w:line="560" w:lineRule="exact"/>
        <w:jc w:val="center"/>
        <w:outlineLvl w:val="0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20</w:t>
      </w:r>
      <w:r>
        <w:rPr>
          <w:rFonts w:ascii="黑体" w:hAnsi="黑体" w:eastAsia="黑体" w:cs="黑体"/>
          <w:sz w:val="48"/>
          <w:szCs w:val="48"/>
        </w:rPr>
        <w:t>2</w:t>
      </w:r>
      <w:r>
        <w:rPr>
          <w:rFonts w:hint="eastAsia" w:ascii="黑体" w:hAnsi="黑体" w:eastAsia="黑体" w:cs="黑体"/>
          <w:sz w:val="48"/>
          <w:szCs w:val="48"/>
        </w:rPr>
        <w:t>5年度安阳市第三十二中学预算</w:t>
      </w:r>
    </w:p>
    <w:p w14:paraId="3B52C209">
      <w:pPr>
        <w:spacing w:before="312" w:beforeLines="100" w:line="560" w:lineRule="exact"/>
        <w:jc w:val="center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48"/>
          <w:szCs w:val="48"/>
        </w:rPr>
        <w:t>情况说明</w:t>
      </w:r>
    </w:p>
    <w:p w14:paraId="34591607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</w:p>
    <w:p w14:paraId="1FA8567D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一、收入支出预算总体情况说明</w:t>
      </w:r>
    </w:p>
    <w:p w14:paraId="15E9E106">
      <w:pPr>
        <w:widowControl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安阳市第三十二中学2025年收入总计446.51万元，支出总计446.51万元。与2</w:t>
      </w:r>
      <w:r>
        <w:rPr>
          <w:rFonts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>4年相比，收、支总计各增加30.68万元，增长7.38%。主要原因是：1、2024年新招聘人员9人，转正定级人员8人，人员经费增加。2、因事业单位工资改革，平时考核奖、日常健康休养费等工资2025年不在本单位编列，由区财政统筹安排预留。3、2025年预算中部分工会经费在文峰区总工会编列，工会经费补充部分在本单位编列。</w:t>
      </w:r>
    </w:p>
    <w:p w14:paraId="1D4382A1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二、收入预算总体情况说明</w:t>
      </w:r>
    </w:p>
    <w:p w14:paraId="3E5E593C">
      <w:pPr>
        <w:widowControl/>
        <w:spacing w:line="560" w:lineRule="exact"/>
        <w:ind w:firstLine="640" w:firstLineChars="200"/>
        <w:rPr>
          <w:rFonts w:ascii="黑体" w:hAnsi="黑体" w:eastAsia="仿宋_GB2312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安阳市第三十二中学2025年收入合计446.51万元，其中：一般公共预算446.51万元；政府性基金预算0万元；其他收入0万元。</w:t>
      </w:r>
    </w:p>
    <w:p w14:paraId="4A6316B8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三、支出预算总体情况说明</w:t>
      </w:r>
    </w:p>
    <w:p w14:paraId="3CD52F76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安阳市第三十二中学2025年支出合计446.51万元，其中：基本支出197.73万元，占44.28%；项目支出248.78万元，占55.72%。</w:t>
      </w:r>
    </w:p>
    <w:p w14:paraId="5B1F90B8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四、财政拨款收支预算总体情况说明</w:t>
      </w:r>
    </w:p>
    <w:p w14:paraId="38FC94F7">
      <w:pPr>
        <w:widowControl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阳市第三十二中学2025年一般公共预算收支预算446.51万元，政府性基金收支预算0万元，与2024年相比，一般公共预算收支预算增加30.68万元，增长7.38%，主要原因：1、2024年新招聘人员9人，转正定级人员8人，人员经费增加。2、因事业单位工资改革，平时考核奖、日常健康休养费等工资2025年不在本单位编列，由区财政统筹安排预留。3、2025年预算中部分工会经费在文峰区总工会编列，工会经费补充部分在本单位编列。政府性基金预算收支预算增加0万元，增长0%，主要原因：我单位本年度及上年度均无政府性基金收支预算。</w:t>
      </w:r>
    </w:p>
    <w:p w14:paraId="2BE3D4FC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五、一般公共预算支出预算情况说明</w:t>
      </w:r>
    </w:p>
    <w:p w14:paraId="0B5E071A">
      <w:pPr>
        <w:widowControl/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32"/>
        </w:rPr>
      </w:pPr>
      <w:bookmarkStart w:id="2" w:name="_Hlk73639991"/>
      <w:r>
        <w:rPr>
          <w:rFonts w:hint="eastAsia" w:ascii="仿宋_GB2312" w:hAnsi="仿宋_GB2312" w:eastAsia="仿宋_GB2312" w:cs="仿宋_GB2312"/>
          <w:sz w:val="32"/>
          <w:szCs w:val="32"/>
        </w:rPr>
        <w:t>安阳市第三十二中学2025年一般公共预算支出年初预算为446.51万元，基本支出197.73万元，占44.28%；项目支出248.78万元，占55.72%。</w:t>
      </w:r>
      <w:bookmarkEnd w:id="2"/>
    </w:p>
    <w:p w14:paraId="7AFE60B2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六、一般公共预算基本支出情况说明</w:t>
      </w:r>
    </w:p>
    <w:p w14:paraId="4FFE7A9D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安阳市第三十二中学2025年一般公共预算基本支出年初预算为197.73万元。其中：人员经费196.89万元，占99.58%；公用经费0.84万元，占0.42%。</w:t>
      </w:r>
    </w:p>
    <w:p w14:paraId="0DA4834D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七、一般公共预算“三公”经费支出预算情况说明</w:t>
      </w:r>
    </w:p>
    <w:p w14:paraId="6EE354C5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我单位2025年“三公”经费预算为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万元，比2024年度“三公”经费支出预算数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增加0万元，与上年持平</w:t>
      </w:r>
      <w:r>
        <w:rPr>
          <w:rFonts w:hint="eastAsia" w:ascii="仿宋_GB2312" w:eastAsia="仿宋_GB2312"/>
          <w:sz w:val="32"/>
          <w:szCs w:val="32"/>
        </w:rPr>
        <w:t>；主要原因：</w:t>
      </w:r>
      <w:r>
        <w:rPr>
          <w:rFonts w:hint="eastAsia" w:ascii="仿宋_GB2312" w:hAnsi="Calibri" w:eastAsia="仿宋_GB2312"/>
          <w:sz w:val="32"/>
          <w:szCs w:val="32"/>
        </w:rPr>
        <w:t>严格贯彻落实中央、市委市政府厉行节约的规定，严格控制“三公”经费预算规模和标准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4AD75DE0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具体支出情况如下：</w:t>
      </w:r>
    </w:p>
    <w:p w14:paraId="5E20510D">
      <w:pPr>
        <w:widowControl/>
        <w:numPr>
          <w:ilvl w:val="0"/>
          <w:numId w:val="4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因公出国（境）费</w:t>
      </w:r>
      <w:r>
        <w:rPr>
          <w:rFonts w:hint="eastAsia" w:ascii="仿宋_GB2312" w:eastAsia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万元，主要用于单位工作人员公务出国（境）的住宿费、旅费、伙食补助费、杂费、培训费等支出。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预算数比2024年增加0万元，与上年持平；</w:t>
      </w:r>
      <w:r>
        <w:rPr>
          <w:rFonts w:hint="eastAsia" w:ascii="仿宋_GB2312" w:eastAsia="仿宋_GB2312"/>
          <w:sz w:val="32"/>
          <w:szCs w:val="32"/>
        </w:rPr>
        <w:t>主要原因：</w:t>
      </w:r>
      <w:r>
        <w:rPr>
          <w:rFonts w:hint="eastAsia" w:ascii="仿宋_GB2312" w:hAnsi="Calibri" w:eastAsia="仿宋_GB2312"/>
          <w:sz w:val="32"/>
          <w:szCs w:val="32"/>
        </w:rPr>
        <w:t>严格贯彻落实中央、市委市政府厉行节约的规定，严格控制因公出国（境）费预算规模和标准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3C8C24D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（二）公务用车购置及运行费</w:t>
      </w:r>
      <w:r>
        <w:rPr>
          <w:rFonts w:hint="eastAsia" w:ascii="仿宋_GB2312" w:hAnsi="仿宋_GB2312" w:eastAsia="仿宋_GB2312" w:cs="仿宋_GB2312"/>
          <w:sz w:val="32"/>
          <w:szCs w:val="32"/>
        </w:rPr>
        <w:t>为0万元，其中：</w:t>
      </w:r>
    </w:p>
    <w:p w14:paraId="79064F8D">
      <w:pPr>
        <w:widowControl/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公务用车购置</w:t>
      </w:r>
      <w:r>
        <w:rPr>
          <w:rFonts w:hint="eastAsia" w:ascii="仿宋_GB2312" w:eastAsia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万元，购置车辆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车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辆。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预算数比2024年增加0万元，与上年持平；</w:t>
      </w:r>
      <w:r>
        <w:rPr>
          <w:rFonts w:hint="eastAsia" w:ascii="仿宋_GB2312" w:eastAsia="仿宋_GB2312"/>
          <w:sz w:val="32"/>
          <w:szCs w:val="32"/>
        </w:rPr>
        <w:t>主要原因：</w:t>
      </w:r>
      <w:r>
        <w:rPr>
          <w:rFonts w:hint="eastAsia" w:ascii="仿宋_GB2312" w:hAnsi="Calibri" w:eastAsia="仿宋_GB2312"/>
          <w:sz w:val="32"/>
          <w:szCs w:val="32"/>
        </w:rPr>
        <w:t>严格贯彻落实中央、市委市政府厉行节约的规定，严格控制公务用车购置及运行费预算规模和标准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48E28A3">
      <w:pPr>
        <w:widowControl/>
        <w:spacing w:line="560" w:lineRule="exact"/>
        <w:ind w:firstLine="643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公务用车运行费维护费</w:t>
      </w:r>
      <w:r>
        <w:rPr>
          <w:rFonts w:hint="eastAsia" w:ascii="仿宋_GB2312" w:hAnsi="仿宋_GB2312" w:eastAsia="仿宋_GB2312" w:cs="仿宋_GB2312"/>
          <w:sz w:val="32"/>
          <w:szCs w:val="32"/>
        </w:rPr>
        <w:t>为0</w:t>
      </w:r>
      <w:r>
        <w:rPr>
          <w:rFonts w:hint="eastAsia" w:ascii="仿宋_GB2312" w:eastAsia="仿宋_GB2312"/>
          <w:sz w:val="32"/>
          <w:szCs w:val="32"/>
        </w:rPr>
        <w:t>万元。主要用于开展工作所需公务用车的燃料费、维修费、过路过桥费、保险费、安全奖励费用等支出。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预算数比2024年增加0万元，与上年持平；</w:t>
      </w:r>
      <w:r>
        <w:rPr>
          <w:rFonts w:hint="eastAsia" w:ascii="仿宋_GB2312" w:eastAsia="仿宋_GB2312"/>
          <w:sz w:val="32"/>
          <w:szCs w:val="32"/>
        </w:rPr>
        <w:t>主要原因：</w:t>
      </w:r>
      <w:r>
        <w:rPr>
          <w:rFonts w:hint="eastAsia" w:ascii="仿宋_GB2312" w:hAnsi="Calibri" w:eastAsia="仿宋_GB2312"/>
          <w:sz w:val="32"/>
          <w:szCs w:val="32"/>
        </w:rPr>
        <w:t>严格贯彻落实中央、市委市政府厉行节约的规定，严格控制公务用车运行费维护费预算规模和标准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E330294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（三）公务接待费</w:t>
      </w:r>
      <w:r>
        <w:rPr>
          <w:rFonts w:hint="eastAsia" w:ascii="仿宋_GB2312" w:eastAsia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万元，主要用于按规定开支的各类公务接待（含外宾接待）支出。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预算数比2024年增加0万元，与上年持平；</w:t>
      </w:r>
      <w:r>
        <w:rPr>
          <w:rFonts w:hint="eastAsia" w:ascii="仿宋_GB2312" w:eastAsia="仿宋_GB2312"/>
          <w:sz w:val="32"/>
          <w:szCs w:val="32"/>
        </w:rPr>
        <w:t>主要原因：</w:t>
      </w:r>
      <w:r>
        <w:rPr>
          <w:rFonts w:hint="eastAsia" w:ascii="仿宋_GB2312" w:hAnsi="Calibri" w:eastAsia="仿宋_GB2312"/>
          <w:sz w:val="32"/>
          <w:szCs w:val="32"/>
        </w:rPr>
        <w:t>严格贯彻落实中央、市委市政府厉行节约的规定，严格控制公务接待费预算规模和标准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08DB6DC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八、政府性基金预算支出预算情况说明</w:t>
      </w:r>
    </w:p>
    <w:p w14:paraId="6A0739C7">
      <w:pPr>
        <w:widowControl/>
        <w:spacing w:line="560" w:lineRule="exact"/>
        <w:ind w:firstLine="640" w:firstLineChars="200"/>
        <w:outlineLvl w:val="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我单位2025年没有使用政府性基金预算</w:t>
      </w:r>
      <w:r>
        <w:rPr>
          <w:rFonts w:hint="eastAsia" w:ascii="仿宋_GB2312" w:hAnsi="宋体" w:eastAsia="仿宋_GB2312" w:cs="Courier New"/>
          <w:sz w:val="32"/>
          <w:szCs w:val="32"/>
        </w:rPr>
        <w:t>拨</w:t>
      </w:r>
      <w:r>
        <w:rPr>
          <w:rFonts w:hint="eastAsia" w:ascii="仿宋_GB2312" w:eastAsia="仿宋_GB2312"/>
          <w:sz w:val="32"/>
          <w:szCs w:val="32"/>
        </w:rPr>
        <w:t>款安排的支出。</w:t>
      </w:r>
    </w:p>
    <w:p w14:paraId="174D1C83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九、国有资本经营支出预算情况说明</w:t>
      </w:r>
    </w:p>
    <w:p w14:paraId="06CA2E31">
      <w:pPr>
        <w:widowControl/>
        <w:spacing w:line="560" w:lineRule="exact"/>
        <w:ind w:firstLine="640" w:firstLineChars="200"/>
        <w:outlineLvl w:val="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我单位2025年没有使用国有资本经营预算</w:t>
      </w:r>
      <w:r>
        <w:rPr>
          <w:rFonts w:hint="eastAsia" w:ascii="仿宋_GB2312" w:hAnsi="宋体" w:eastAsia="仿宋_GB2312" w:cs="Courier New"/>
          <w:sz w:val="32"/>
          <w:szCs w:val="32"/>
        </w:rPr>
        <w:t>拨</w:t>
      </w:r>
      <w:r>
        <w:rPr>
          <w:rFonts w:hint="eastAsia" w:ascii="仿宋_GB2312" w:eastAsia="仿宋_GB2312"/>
          <w:sz w:val="32"/>
          <w:szCs w:val="32"/>
        </w:rPr>
        <w:t>款安排的支出。</w:t>
      </w:r>
    </w:p>
    <w:p w14:paraId="0AC5A905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十、上年结转情况说明</w:t>
      </w:r>
    </w:p>
    <w:p w14:paraId="292B0526">
      <w:pPr>
        <w:widowControl/>
        <w:spacing w:line="560" w:lineRule="exact"/>
        <w:ind w:firstLine="640" w:firstLineChars="200"/>
        <w:outlineLvl w:val="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我单位2025年上年结转资金为0万元，其中财政拨款0万元，占0%；政府性基金0万元，占0%；一般性转移支付资金0万元，占0%。</w:t>
      </w:r>
    </w:p>
    <w:p w14:paraId="7E01D7FD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十一、其他重要事项的情况说明</w:t>
      </w:r>
    </w:p>
    <w:p w14:paraId="01196208">
      <w:pPr>
        <w:numPr>
          <w:ilvl w:val="0"/>
          <w:numId w:val="5"/>
        </w:numPr>
        <w:spacing w:line="560" w:lineRule="exact"/>
        <w:ind w:left="0" w:firstLine="643" w:firstLineChars="200"/>
        <w:jc w:val="left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事业运行经费支出情况</w:t>
      </w:r>
    </w:p>
    <w:p w14:paraId="47B292EE">
      <w:pPr>
        <w:spacing w:line="560" w:lineRule="exact"/>
        <w:ind w:firstLine="640" w:firstLineChars="200"/>
        <w:jc w:val="left"/>
        <w:rPr>
          <w:rFonts w:ascii="宋体" w:hAnsi="宋体" w:eastAsia="仿宋_GB2312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安阳市第三十二中学</w:t>
      </w:r>
      <w:r>
        <w:rPr>
          <w:rFonts w:hint="eastAsia" w:ascii="仿宋_GB2312" w:eastAsia="仿宋_GB2312"/>
          <w:sz w:val="32"/>
          <w:szCs w:val="32"/>
        </w:rPr>
        <w:t>2025年度事业运行经费支出预算0.84万元，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主要保障机构正常运转及正常履职需要所需支出，包含公用经费、工会经费、职工福利等。</w:t>
      </w:r>
    </w:p>
    <w:p w14:paraId="2887AEC1">
      <w:pPr>
        <w:numPr>
          <w:ilvl w:val="0"/>
          <w:numId w:val="5"/>
        </w:numPr>
        <w:spacing w:line="560" w:lineRule="exact"/>
        <w:ind w:left="0" w:firstLine="643" w:firstLineChars="200"/>
        <w:jc w:val="left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政府采购支出情况</w:t>
      </w:r>
    </w:p>
    <w:p w14:paraId="10D34CEE">
      <w:pPr>
        <w:widowControl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2025年度政府采购预算安排30.60万元，其中：政府采购货物预算25.60万元、政府采购工程预算5.00万元、政府采购服务预算0万元。</w:t>
      </w:r>
    </w:p>
    <w:p w14:paraId="20F66B26">
      <w:pPr>
        <w:spacing w:line="560" w:lineRule="exact"/>
        <w:ind w:firstLine="643" w:firstLineChars="200"/>
        <w:jc w:val="left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（三）预算绩效情况说明</w:t>
      </w:r>
    </w:p>
    <w:p w14:paraId="7475A85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我单位2025年预算项目共22个，资金总额 248.78万元，均分别从项目成本、项目产出、项目效益、项目满意度等方面按要求设置了绩效目标。其中预算支出100万元及100万元以上重点项目共0个。</w:t>
      </w:r>
    </w:p>
    <w:p w14:paraId="07F43578">
      <w:pPr>
        <w:spacing w:line="560" w:lineRule="exact"/>
        <w:ind w:firstLine="643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（四）国有资产占用情况</w:t>
      </w:r>
    </w:p>
    <w:p w14:paraId="0CFBF9D3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2024年期末，我单位共有车辆0辆，其中：一般公务用车0辆、一般执法执勤用车0辆，特种专业技术用车0辆、其他用车0辆，单位价值50万元以上通用设备0台（套），单位价值100万元以上专用设备0台（套）。</w:t>
      </w:r>
    </w:p>
    <w:p w14:paraId="289DA2C0">
      <w:pPr>
        <w:spacing w:line="560" w:lineRule="exact"/>
        <w:ind w:firstLine="643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（五）专项转移支付项目情况</w:t>
      </w:r>
    </w:p>
    <w:p w14:paraId="742DC8E6">
      <w:pPr>
        <w:pStyle w:val="2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负责管理的专项转移支付项目共有4项，主要是：提前下达2025年城乡义务教育经费保障机制补助资金（公用经费）-中央（安财预[2024]386号）项目107.60万元；提前下达2025年城乡义务教育经费保障机制补助资金（公用经费）-省级（安财预[2024]386号）项目15.10万元；提前下达2025年城乡义务教育经费保障机制补助资金（公用经费）-省级-统筹中央综合奖补（安财预[2024]386号）项目7.86万元；提前下达2025年城乡义务教育经费保障机制补助资金（公用经费）-市级（安财预[2024]386号）项目9.04万元。我单位将按照《中华人民共和国预算法》等有关规定，积极做好项目分配前期准备工作，在规定的时间内向财政部门提出资金分配意见，根据有关要求做好项目申报公开等相关工作。</w:t>
      </w:r>
    </w:p>
    <w:p w14:paraId="38282980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yellow"/>
        </w:rPr>
      </w:pPr>
    </w:p>
    <w:p w14:paraId="0EFDEA69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yellow"/>
        </w:rPr>
      </w:pPr>
    </w:p>
    <w:p w14:paraId="0DF5C081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yellow"/>
        </w:rPr>
      </w:pPr>
    </w:p>
    <w:p w14:paraId="14DFB8F9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yellow"/>
        </w:rPr>
      </w:pPr>
    </w:p>
    <w:p w14:paraId="0E80A08B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yellow"/>
        </w:rPr>
      </w:pPr>
    </w:p>
    <w:p w14:paraId="6E0EA951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yellow"/>
        </w:rPr>
      </w:pPr>
    </w:p>
    <w:p w14:paraId="45EBFD57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yellow"/>
        </w:rPr>
      </w:pPr>
    </w:p>
    <w:p w14:paraId="266A5475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yellow"/>
        </w:rPr>
      </w:pPr>
      <w:bookmarkStart w:id="3" w:name="_GoBack"/>
      <w:bookmarkEnd w:id="3"/>
    </w:p>
    <w:p w14:paraId="01EE2F4C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第三部分 名词解释</w:t>
      </w:r>
    </w:p>
    <w:p w14:paraId="296DEABA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一、财政拨款收入：是指同级财政当年拨付的资金。</w:t>
      </w:r>
    </w:p>
    <w:p w14:paraId="770BFC13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二、事业收入：是指事业单位开展专业活动及辅助活动所取得的收入。</w:t>
      </w:r>
    </w:p>
    <w:p w14:paraId="76BCDDBC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 xml:space="preserve">三、其他收入：是指部门取得的除“财政拨款”、“事业收入”、“事业单位经营收入”等以外的收入。 </w:t>
      </w:r>
    </w:p>
    <w:p w14:paraId="50E50A08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四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14:paraId="2AD8A3CC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五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 w14:paraId="51851645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六、基本支出：是指为保障机构正常运转、完成日常工作任务所必需的开支，其内容包括人员经费和日常公用经费两部分。</w:t>
      </w:r>
    </w:p>
    <w:p w14:paraId="612197D0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七、项目支出：是指在基本支出之外，为完成特定的行政工作任务或事业发展目标所发生的支出。</w:t>
      </w:r>
    </w:p>
    <w:p w14:paraId="18D3393C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八、“三公”经费：是指纳入同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4F18D36B"/>
    <w:sectPr>
      <w:footerReference r:id="rId3" w:type="default"/>
      <w:footerReference r:id="rId4" w:type="even"/>
      <w:pgSz w:w="11906" w:h="16838"/>
      <w:pgMar w:top="1928" w:right="1474" w:bottom="170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E8541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2615565</wp:posOffset>
              </wp:positionH>
              <wp:positionV relativeFrom="paragraph">
                <wp:posOffset>-172720</wp:posOffset>
              </wp:positionV>
              <wp:extent cx="382270" cy="2730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2270" cy="273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B1A138">
                          <w:pPr>
                            <w:snapToGrid w:val="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14:paraId="7A212810">
                          <w:pPr>
                            <w:snapToGrid w:val="0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5.95pt;margin-top:-13.6pt;height:21.5pt;width:30.1pt;mso-position-horizontal-relative:margin;z-index:251660288;mso-width-relative:page;mso-height-relative:page;" filled="f" stroked="f" coordsize="21600,21600" o:gfxdata="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V0LAjZAAAACgEAAA8AAAAAAAAAAQAgAAAAIgAAAGRycy9kb3ducmV2LnhtbFBLAQIUABQAAAAI&#10;AIdO4kCR3zHnswEAAGU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CB1A138">
                    <w:pPr>
                      <w:snapToGrid w:val="0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  <w:p w14:paraId="7A212810">
                    <w:pPr>
                      <w:snapToGrid w:val="0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3E0251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63E0251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8655F"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2615565</wp:posOffset>
              </wp:positionH>
              <wp:positionV relativeFrom="paragraph">
                <wp:posOffset>-172720</wp:posOffset>
              </wp:positionV>
              <wp:extent cx="562610" cy="22542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261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0DBBE5">
                          <w:pPr>
                            <w:snapToGrid w:val="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5.95pt;margin-top:-13.6pt;height:17.75pt;width:44.3pt;mso-position-horizontal-relative:margin;z-index:251661312;mso-width-relative:page;mso-height-relative:page;" filled="f" stroked="f" coordsize="21600,21600" o:gfxdata="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Fr/T0vZAAAACQEAAA8AAAAAAAAAAQAgAAAAIgAAAGRycy9kb3ducmV2LnhtbFBLAQIUABQAAAAI&#10;AIdO4kDZOZgTswEAAGU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80DBBE5">
                    <w:pPr>
                      <w:snapToGrid w:val="0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4CA18"/>
    <w:multiLevelType w:val="singleLevel"/>
    <w:tmpl w:val="8944CA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2B440AB"/>
    <w:multiLevelType w:val="singleLevel"/>
    <w:tmpl w:val="D2B440AB"/>
    <w:lvl w:ilvl="0" w:tentative="0">
      <w:start w:val="1"/>
      <w:numFmt w:val="chineseCounting"/>
      <w:suff w:val="nothing"/>
      <w:lvlText w:val="（%1）"/>
      <w:lvlJc w:val="left"/>
      <w:rPr>
        <w:rFonts w:hint="eastAsia" w:ascii="楷体_GB2312" w:hAnsi="楷体_GB2312" w:eastAsia="楷体_GB2312" w:cs="楷体_GB2312"/>
        <w:b w:val="0"/>
        <w:bCs w:val="0"/>
      </w:rPr>
    </w:lvl>
  </w:abstractNum>
  <w:abstractNum w:abstractNumId="2">
    <w:nsid w:val="4C50D702"/>
    <w:multiLevelType w:val="singleLevel"/>
    <w:tmpl w:val="4C50D702"/>
    <w:lvl w:ilvl="0" w:tentative="0">
      <w:start w:val="1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2956B59"/>
    <w:multiLevelType w:val="multilevel"/>
    <w:tmpl w:val="52956B59"/>
    <w:lvl w:ilvl="0" w:tentative="0">
      <w:start w:val="1"/>
      <w:numFmt w:val="japaneseCounting"/>
      <w:lvlText w:val="(%1)"/>
      <w:lvlJc w:val="left"/>
      <w:pPr>
        <w:ind w:left="15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40" w:hanging="420"/>
      </w:pPr>
    </w:lvl>
    <w:lvl w:ilvl="2" w:tentative="0">
      <w:start w:val="1"/>
      <w:numFmt w:val="lowerRoman"/>
      <w:lvlText w:val="%3."/>
      <w:lvlJc w:val="right"/>
      <w:pPr>
        <w:ind w:left="2060" w:hanging="420"/>
      </w:pPr>
    </w:lvl>
    <w:lvl w:ilvl="3" w:tentative="0">
      <w:start w:val="1"/>
      <w:numFmt w:val="decimal"/>
      <w:lvlText w:val="%4."/>
      <w:lvlJc w:val="left"/>
      <w:pPr>
        <w:ind w:left="2480" w:hanging="420"/>
      </w:pPr>
    </w:lvl>
    <w:lvl w:ilvl="4" w:tentative="0">
      <w:start w:val="1"/>
      <w:numFmt w:val="lowerLetter"/>
      <w:lvlText w:val="%5)"/>
      <w:lvlJc w:val="left"/>
      <w:pPr>
        <w:ind w:left="2900" w:hanging="420"/>
      </w:pPr>
    </w:lvl>
    <w:lvl w:ilvl="5" w:tentative="0">
      <w:start w:val="1"/>
      <w:numFmt w:val="lowerRoman"/>
      <w:lvlText w:val="%6."/>
      <w:lvlJc w:val="right"/>
      <w:pPr>
        <w:ind w:left="3320" w:hanging="420"/>
      </w:pPr>
    </w:lvl>
    <w:lvl w:ilvl="6" w:tentative="0">
      <w:start w:val="1"/>
      <w:numFmt w:val="decimal"/>
      <w:lvlText w:val="%7."/>
      <w:lvlJc w:val="left"/>
      <w:pPr>
        <w:ind w:left="3740" w:hanging="420"/>
      </w:pPr>
    </w:lvl>
    <w:lvl w:ilvl="7" w:tentative="0">
      <w:start w:val="1"/>
      <w:numFmt w:val="lowerLetter"/>
      <w:lvlText w:val="%8)"/>
      <w:lvlJc w:val="left"/>
      <w:pPr>
        <w:ind w:left="4160" w:hanging="420"/>
      </w:pPr>
    </w:lvl>
    <w:lvl w:ilvl="8" w:tentative="0">
      <w:start w:val="1"/>
      <w:numFmt w:val="lowerRoman"/>
      <w:lvlText w:val="%9."/>
      <w:lvlJc w:val="right"/>
      <w:pPr>
        <w:ind w:left="4580" w:hanging="420"/>
      </w:pPr>
    </w:lvl>
  </w:abstractNum>
  <w:abstractNum w:abstractNumId="4">
    <w:nsid w:val="5971BE17"/>
    <w:multiLevelType w:val="singleLevel"/>
    <w:tmpl w:val="5971BE17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7725C"/>
    <w:rsid w:val="00172653"/>
    <w:rsid w:val="009D0048"/>
    <w:rsid w:val="00EE02E8"/>
    <w:rsid w:val="27E47049"/>
    <w:rsid w:val="436D1672"/>
    <w:rsid w:val="45D052ED"/>
    <w:rsid w:val="46932F3D"/>
    <w:rsid w:val="59EB3ED5"/>
    <w:rsid w:val="5AE077B1"/>
    <w:rsid w:val="64F7725C"/>
    <w:rsid w:val="7D1A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批注框文本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潮州市潮安区机关及下属单位</Company>
  <Pages>11</Pages>
  <Words>3471</Words>
  <Characters>3807</Characters>
  <Lines>28</Lines>
  <Paragraphs>7</Paragraphs>
  <TotalTime>0</TotalTime>
  <ScaleCrop>false</ScaleCrop>
  <LinksUpToDate>false</LinksUpToDate>
  <CharactersWithSpaces>3825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2025-03-19T00:36:00Z</dcterms:created>
  <dc:creator>Administrator</dc:creator>
  <cp:lastModifiedBy>夏慕</cp:lastModifiedBy>
  <dcterms:modified xsi:type="dcterms:W3CDTF">2025-03-23T09:16:51Z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eyJoZGlkIjoiNDc0NzQwM2M1MjllYzc3MzE3YWQ0MWIzMjJlZmUyM2MiLCJ1c2VySWQiOiI4OTM1MTY4NzEifQ==</vt:lpwstr>
  </property>
  <property fmtid="{D5CDD505-2E9C-101B-9397-08002B2CF9AE}" pid="4" name="ICV">
    <vt:lpwstr>6C419793AF7444599B7A63F098109B7E_12</vt:lpwstr>
  </property>
</Properties>
</file>